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8A" w:rsidRPr="00681B1E" w:rsidRDefault="000411ED" w:rsidP="000411ED">
      <w:pPr>
        <w:spacing w:after="120"/>
        <w:jc w:val="both"/>
        <w:rPr>
          <w:rFonts w:ascii="Times New Roman" w:hAnsi="Times New Roman" w:cs="Times New Roman"/>
          <w:sz w:val="24"/>
          <w:szCs w:val="24"/>
        </w:rPr>
      </w:pPr>
      <w:r w:rsidRPr="00681B1E">
        <w:rPr>
          <w:rFonts w:ascii="Times New Roman" w:hAnsi="Times New Roman" w:cs="Times New Roman"/>
          <w:sz w:val="24"/>
          <w:szCs w:val="24"/>
        </w:rPr>
        <w:t>Okulumuz Biyoloji öğretmeni Nazım ERBAY danışmanlığında 10</w:t>
      </w:r>
      <w:r w:rsidR="00E47339" w:rsidRPr="00681B1E">
        <w:rPr>
          <w:rFonts w:ascii="Times New Roman" w:hAnsi="Times New Roman" w:cs="Times New Roman"/>
          <w:sz w:val="24"/>
          <w:szCs w:val="24"/>
        </w:rPr>
        <w:t>-</w:t>
      </w:r>
      <w:r w:rsidRPr="00681B1E">
        <w:rPr>
          <w:rFonts w:ascii="Times New Roman" w:hAnsi="Times New Roman" w:cs="Times New Roman"/>
          <w:sz w:val="24"/>
          <w:szCs w:val="24"/>
        </w:rPr>
        <w:t xml:space="preserve">B  öğrencileri tarafından hazırlanan </w:t>
      </w:r>
      <w:r w:rsidRPr="00681B1E">
        <w:rPr>
          <w:rFonts w:ascii="Times New Roman" w:hAnsi="Times New Roman" w:cs="Times New Roman"/>
          <w:b/>
          <w:sz w:val="24"/>
          <w:szCs w:val="24"/>
        </w:rPr>
        <w:t>‘’Kan Gruplarının Vücut Kitle İndeksine Etkisi ve Kan Gruplarına Göre Beslenme’’</w:t>
      </w:r>
      <w:r w:rsidRPr="00681B1E">
        <w:rPr>
          <w:rFonts w:ascii="Times New Roman" w:hAnsi="Times New Roman" w:cs="Times New Roman"/>
          <w:sz w:val="24"/>
          <w:szCs w:val="24"/>
        </w:rPr>
        <w:t xml:space="preserve"> adlı proje tamamlandı. Proje kapsamında öğrenci ve personellerden oluşan 430 kişinin verileri incelendi ve ilginç sonuçlara ulaşıldı. </w:t>
      </w:r>
    </w:p>
    <w:p w:rsidR="000411ED" w:rsidRPr="00681B1E" w:rsidRDefault="000411ED" w:rsidP="000411ED">
      <w:pPr>
        <w:spacing w:after="120"/>
        <w:jc w:val="both"/>
        <w:rPr>
          <w:rFonts w:ascii="Times New Roman" w:hAnsi="Times New Roman" w:cs="Times New Roman"/>
          <w:sz w:val="24"/>
          <w:szCs w:val="24"/>
        </w:rPr>
      </w:pPr>
      <w:r w:rsidRPr="00681B1E">
        <w:rPr>
          <w:rFonts w:ascii="Times New Roman" w:hAnsi="Times New Roman" w:cs="Times New Roman"/>
          <w:sz w:val="24"/>
          <w:szCs w:val="24"/>
        </w:rPr>
        <w:tab/>
        <w:t xml:space="preserve">Acaba hangi kan grupları obziteye daha yatkın? Projemizi inceleyerek detaylara ulaşabilirsiniz. Projede çalışan Edanur GÖK, Jinda KIZAR, Ecrin ERBAY ve Şeyma </w:t>
      </w:r>
      <w:r w:rsidR="00D02F98" w:rsidRPr="00681B1E">
        <w:rPr>
          <w:rFonts w:ascii="Times New Roman" w:hAnsi="Times New Roman" w:cs="Times New Roman"/>
          <w:sz w:val="24"/>
          <w:szCs w:val="24"/>
        </w:rPr>
        <w:t xml:space="preserve">GÜNEŞ’i </w:t>
      </w:r>
      <w:r w:rsidR="006746E0">
        <w:rPr>
          <w:rFonts w:ascii="Times New Roman" w:hAnsi="Times New Roman" w:cs="Times New Roman"/>
          <w:sz w:val="24"/>
          <w:szCs w:val="24"/>
        </w:rPr>
        <w:t>t</w:t>
      </w:r>
      <w:bookmarkStart w:id="0" w:name="_GoBack"/>
      <w:bookmarkEnd w:id="0"/>
      <w:r w:rsidR="00D02F98" w:rsidRPr="00681B1E">
        <w:rPr>
          <w:rFonts w:ascii="Times New Roman" w:hAnsi="Times New Roman" w:cs="Times New Roman"/>
          <w:sz w:val="24"/>
          <w:szCs w:val="24"/>
        </w:rPr>
        <w:t>ebrik ediyoruz.</w:t>
      </w:r>
    </w:p>
    <w:p w:rsidR="00D02F98" w:rsidRDefault="00D02F98" w:rsidP="000411ED">
      <w:pPr>
        <w:spacing w:after="120"/>
        <w:jc w:val="both"/>
        <w:rPr>
          <w:rFonts w:ascii="Times New Roman" w:hAnsi="Times New Roman" w:cs="Times New Roman"/>
          <w:sz w:val="24"/>
          <w:szCs w:val="24"/>
        </w:rPr>
      </w:pPr>
    </w:p>
    <w:p w:rsidR="00BE58F1" w:rsidRPr="00BE58F1" w:rsidRDefault="00BE58F1" w:rsidP="00BE58F1">
      <w:pPr>
        <w:spacing w:after="120"/>
        <w:jc w:val="both"/>
        <w:rPr>
          <w:rFonts w:ascii="Times New Roman" w:hAnsi="Times New Roman" w:cs="Times New Roman"/>
          <w:sz w:val="24"/>
          <w:szCs w:val="24"/>
        </w:rPr>
      </w:pPr>
    </w:p>
    <w:p w:rsidR="00BE58F1" w:rsidRPr="00BE58F1" w:rsidRDefault="00BE58F1" w:rsidP="00BE58F1">
      <w:pPr>
        <w:spacing w:after="120"/>
        <w:jc w:val="both"/>
        <w:rPr>
          <w:rFonts w:ascii="Times New Roman" w:hAnsi="Times New Roman" w:cs="Times New Roman"/>
          <w:sz w:val="24"/>
          <w:szCs w:val="24"/>
        </w:rPr>
      </w:pPr>
      <w:r w:rsidRPr="00BE58F1">
        <w:rPr>
          <w:rFonts w:ascii="Times New Roman" w:hAnsi="Times New Roman" w:cs="Times New Roman"/>
          <w:sz w:val="24"/>
          <w:szCs w:val="24"/>
        </w:rPr>
        <w:t xml:space="preserve"> </w:t>
      </w:r>
      <w:r w:rsidRPr="00BE58F1">
        <w:rPr>
          <w:rFonts w:ascii="Times New Roman" w:hAnsi="Times New Roman" w:cs="Times New Roman"/>
          <w:b/>
          <w:bCs/>
          <w:sz w:val="24"/>
          <w:szCs w:val="24"/>
        </w:rPr>
        <w:t xml:space="preserve">ÖZET </w:t>
      </w:r>
    </w:p>
    <w:p w:rsidR="00D414BA" w:rsidRDefault="00BE58F1" w:rsidP="00BE58F1">
      <w:pPr>
        <w:spacing w:after="120"/>
        <w:jc w:val="both"/>
        <w:rPr>
          <w:rFonts w:ascii="Times New Roman" w:hAnsi="Times New Roman" w:cs="Times New Roman"/>
          <w:sz w:val="24"/>
          <w:szCs w:val="24"/>
        </w:rPr>
      </w:pPr>
      <w:r w:rsidRPr="00BE58F1">
        <w:rPr>
          <w:rFonts w:ascii="Times New Roman" w:hAnsi="Times New Roman" w:cs="Times New Roman"/>
          <w:sz w:val="24"/>
          <w:szCs w:val="24"/>
        </w:rPr>
        <w:t>Kan, insan vücudunun en önemli bileşenlerinden biridir. Kanın yapısı insan metabolizmasını doğrudan etkiler. İnsan sağlığını etkileyen önemli bir diğer etken de beslenmedir. İnsan fizyolojisi beslenme, metabolizma ve yaşam alışkanlıklarına bağlı günlük bir ritme sahiptir. Organizma bu kararlı ortamı sürdürme eğilimindedir. Bu çalışmada kan yapısının insan sağlığına etkisi araştırıldı. Kan grubunun beden kitle indeksine olan etkisini belirlemek amacıyla Mardin Fen Lisesi öğrenci ve personellerinden 430 denek üzerinde çalışıldı. Her deneğin kan grubu tespit edilip, vücut kitle indeksi hesaplandı. Sonuçlar, ortalamanın analizi tekniğinden (Analysis of Means=ANOM) yararlanılarak değerlendirildi. Deneklerden elde edilen istatiksel veriler AB ve B grubunun diğer gruplara oranla obeziteye daha yatkın olduklarını gösterdi. Tüm kan grupları dikkate alındığında obeziteye yatkınlık ortalaması % 14,88 iken, AB grubunda bu oran %21,31, B grubunda ise %17,58 olarak ölçüldü. Sonuçlar alyuvar zarında B antijeni taşıyan bireylerin kan yapısına uygun beslenmelerini daha öncelikli kılıyor. Bu konuda yapılan araştırmalar bilimsel açıdan tartışmalı olsa da ‘Kan Grubuna Göre Beslenme Diyeti’ gün geçtikçe daha popüler hale gelmektedir. Kişilerin kan gruplarına uygun beslenme alışkanlığı edinmesi sağlıklı bir yaşamın önemli bir bileşeni olabilir.</w:t>
      </w:r>
    </w:p>
    <w:p w:rsidR="00BE58F1" w:rsidRDefault="00BE58F1" w:rsidP="00BE58F1">
      <w:pPr>
        <w:spacing w:after="120"/>
        <w:jc w:val="both"/>
        <w:rPr>
          <w:rFonts w:ascii="Times New Roman" w:hAnsi="Times New Roman" w:cs="Times New Roman"/>
          <w:sz w:val="24"/>
          <w:szCs w:val="24"/>
        </w:rPr>
      </w:pPr>
    </w:p>
    <w:p w:rsidR="00BE58F1" w:rsidRPr="00BE58F1" w:rsidRDefault="00BE58F1" w:rsidP="00BE58F1">
      <w:pPr>
        <w:spacing w:after="120"/>
        <w:jc w:val="both"/>
        <w:rPr>
          <w:rFonts w:ascii="Times New Roman" w:hAnsi="Times New Roman" w:cs="Times New Roman"/>
          <w:sz w:val="24"/>
          <w:szCs w:val="24"/>
        </w:rPr>
      </w:pPr>
      <w:r w:rsidRPr="00BE58F1">
        <w:rPr>
          <w:rFonts w:ascii="Times New Roman" w:hAnsi="Times New Roman" w:cs="Times New Roman"/>
          <w:b/>
          <w:bCs/>
          <w:sz w:val="24"/>
          <w:szCs w:val="24"/>
        </w:rPr>
        <w:t xml:space="preserve">YÖNTEM </w:t>
      </w:r>
    </w:p>
    <w:p w:rsidR="00E47339" w:rsidRDefault="00BE58F1" w:rsidP="00BE58F1">
      <w:pPr>
        <w:spacing w:after="120"/>
        <w:jc w:val="both"/>
        <w:rPr>
          <w:rFonts w:ascii="Times New Roman" w:hAnsi="Times New Roman" w:cs="Times New Roman"/>
          <w:sz w:val="24"/>
          <w:szCs w:val="24"/>
        </w:rPr>
      </w:pPr>
      <w:r w:rsidRPr="00BE58F1">
        <w:rPr>
          <w:rFonts w:ascii="Times New Roman" w:hAnsi="Times New Roman" w:cs="Times New Roman"/>
          <w:sz w:val="24"/>
          <w:szCs w:val="24"/>
        </w:rPr>
        <w:t xml:space="preserve">Bu araştırmanın evrenini Mardin Fen Lisesi’nde öğrenim gören öğrenciler, okulda görevli öğretmenler ve diğer personeller oluşturmaktadır. Araştırmaya dâhil edilen kişiler, çalışmanın amacı ve planı hakkında bilgilendirilmiştir. Katılım gönüllülük esasına dayanmaktadır. Araştırmada daha fazla veriye ulaşmak için kan grubunu bilmeyenlerin kan grubuna bakıldı. Tespit için Anti-A, Anti-B ve Anti-Rh test serumları kullanıldı. Alkol ile temizlenen parmak ucundan lanset ile üç damla kan lamel üzerine damlatıldı. Her damla için sırası ile Anti-A, Anti-B ve Anti-Rh test serumları eklenerek temiz cam baget ile karıştırıldı. Ortalama 2-3 dakika beklenerek çökelme durumlarına göre kan grupları belirlendi. Kan gruplarını bilip test yapmak istemeyenlerin beyanı esas alındı. Deneklerin boy ve kilo bilgileri beden eğitimi öğretmeni ve okul revirinde görevli sağlık memuru gözetiminde ölçüldü. Ölçümler çıplak ayakla, giyinik olarak yapıldı. Sınıf listeleri e-okuldan alınıp her öğrenci için kan grubu, boy ve kilo bilgileri forma işlendi. Excel uygulamasında hazırladığımız program ile her denek için vücut kitle indeksi hesaplandı. Vücut kitle indeksi; Ağırlık(kg) / boy(metre)2 formülü ile hesaplandı. Böylece tüm sınıfların ve personelin vücut kitle indeksi ve kan grupları listeleri </w:t>
      </w:r>
      <w:r w:rsidRPr="00BE58F1">
        <w:rPr>
          <w:rFonts w:ascii="Times New Roman" w:hAnsi="Times New Roman" w:cs="Times New Roman"/>
          <w:sz w:val="24"/>
          <w:szCs w:val="24"/>
        </w:rPr>
        <w:lastRenderedPageBreak/>
        <w:t>oluşturuldu. Vücut kitle indeksi ve kan grubu eşleşmeleri yapılarak sonuçlar değerlendirildi. Excel uygulamasında sonuçlar için grafikler ve tablolar hazırlandı.</w:t>
      </w:r>
    </w:p>
    <w:p w:rsidR="00E47339" w:rsidRPr="00E47339" w:rsidRDefault="00E47339" w:rsidP="00E47339">
      <w:pPr>
        <w:spacing w:after="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Kan grubuna göre beslenme tüm dünyada popüler olan devrim niteliğinde bir diyettir. Bu diyetin temeli Dr.</w:t>
      </w:r>
      <w:r w:rsidRPr="00E47339">
        <w:rPr>
          <w:rFonts w:ascii="Times New Roman" w:eastAsia="Calibri" w:hAnsi="Times New Roman" w:cs="Times New Roman"/>
          <w:sz w:val="24"/>
          <w:szCs w:val="24"/>
          <w:shd w:val="clear" w:color="auto" w:fill="FFFFFF"/>
        </w:rPr>
        <w:t xml:space="preserve"> Peter D'Adamo’nun ‘Kan Gruplarına Göre Beslenme’ adlı kitabına dayanmaktadır.</w:t>
      </w:r>
      <w:r w:rsidRPr="00E47339">
        <w:rPr>
          <w:rFonts w:ascii="Arial" w:eastAsia="Calibri" w:hAnsi="Arial" w:cs="Arial"/>
          <w:sz w:val="23"/>
          <w:szCs w:val="23"/>
          <w:shd w:val="clear" w:color="auto" w:fill="FFFFFF"/>
        </w:rPr>
        <w:t xml:space="preserve"> </w:t>
      </w:r>
      <w:r w:rsidRPr="00E47339">
        <w:rPr>
          <w:rFonts w:ascii="Times New Roman" w:eastAsia="Calibri" w:hAnsi="Times New Roman" w:cs="Times New Roman"/>
          <w:sz w:val="24"/>
          <w:szCs w:val="24"/>
        </w:rPr>
        <w:t>Yapılan çalışmalarda bazı kan gruplarının bazı hastalıklara karşı daha duyarlı olduğu açıklanmıştır. Örneğin A kan gruplu kişiler kalp hastalıklarına daha yatkındır. Bu nedenle et ve süt ürünlerini tüketirken dikkat etmeleri gerekir (Madi vd.,2023). Kan belirli gıdalarla, özellikle de “Lektin” adı verilen proteinle temas ettiğinde kimyasal bir reaksiyon meydana getirmektedir. Lektin genellikle otoimmün hastalıklara neden olmaktadır. İnsülin direncini geliştirerek obeziteyi arttırır ve bağırsak florasını bozar (Bayrakdar, 2019).</w:t>
      </w:r>
    </w:p>
    <w:p w:rsidR="00E47339" w:rsidRDefault="00E47339" w:rsidP="00E47339">
      <w:pPr>
        <w:spacing w:after="120" w:line="240" w:lineRule="auto"/>
        <w:ind w:firstLine="708"/>
        <w:jc w:val="both"/>
        <w:rPr>
          <w:rFonts w:ascii="Times New Roman" w:eastAsia="Calibri" w:hAnsi="Times New Roman" w:cs="Times New Roman"/>
          <w:sz w:val="24"/>
          <w:szCs w:val="24"/>
        </w:rPr>
      </w:pPr>
    </w:p>
    <w:p w:rsidR="00E47339" w:rsidRPr="00E47339" w:rsidRDefault="00E47339" w:rsidP="00E47339">
      <w:pPr>
        <w:spacing w:after="120" w:line="240" w:lineRule="auto"/>
        <w:ind w:firstLine="708"/>
        <w:jc w:val="both"/>
        <w:rPr>
          <w:rFonts w:ascii="Times New Roman" w:eastAsia="Calibri" w:hAnsi="Times New Roman" w:cs="Times New Roman"/>
          <w:b/>
          <w:sz w:val="24"/>
          <w:szCs w:val="24"/>
        </w:rPr>
      </w:pPr>
      <w:r w:rsidRPr="00E47339">
        <w:rPr>
          <w:rFonts w:ascii="Times New Roman" w:eastAsia="Calibri" w:hAnsi="Times New Roman" w:cs="Times New Roman"/>
          <w:b/>
          <w:sz w:val="24"/>
          <w:szCs w:val="24"/>
        </w:rPr>
        <w:t>BULGULAR</w:t>
      </w:r>
    </w:p>
    <w:p w:rsidR="00E47339" w:rsidRPr="00E47339" w:rsidRDefault="00E47339" w:rsidP="00E47339">
      <w:pPr>
        <w:spacing w:after="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Mardin ili Artuklu ilçesi Mardin Fen Lisesi’nde 430 denek üzerinde yapılan kan grubu tespit çalışması sonuçları Tablo 3’te gösterilmiştir. Yapılan çalışmaya göre deneklerin % 28,34’ü A Rh(+), % 6,07’si A Rh(-), % 18,83’ü B Rh(+), % 2,83’ü B Rh(-), % 12,55’i AB Rh(+), % 2,43’ü AB Rh(-), % 24,29’u 0 Rh(+) ve % 4,66’sı 0 Rh(-) kan grubundan oldukları saptanmıştır. Sadece Rh açısından bakıldığında deneklerin % 16,51’i Rh(-) iken, % 83,49’u Rh(+) dir. ABO sistemi açısından yalın yüzde dağılımı ise; A grubu için % 34,41, B grubu için % 21,66, AB grubu için % 14,98 ve 0 grubu için % 28,95 olarak ölçülmüştür. (Grafik 1 ve 2.)</w:t>
      </w:r>
    </w:p>
    <w:p w:rsidR="00E47339" w:rsidRPr="00E47339" w:rsidRDefault="00E47339" w:rsidP="00E47339">
      <w:pPr>
        <w:spacing w:after="0" w:line="240" w:lineRule="auto"/>
        <w:jc w:val="both"/>
        <w:rPr>
          <w:rFonts w:ascii="Times New Roman" w:eastAsia="Calibri" w:hAnsi="Times New Roman" w:cs="Times New Roman"/>
          <w:sz w:val="24"/>
          <w:szCs w:val="24"/>
        </w:rPr>
      </w:pPr>
    </w:p>
    <w:p w:rsidR="00E47339" w:rsidRPr="00E47339" w:rsidRDefault="00E47339" w:rsidP="00E47339">
      <w:pPr>
        <w:spacing w:after="60" w:line="240" w:lineRule="auto"/>
        <w:jc w:val="both"/>
        <w:rPr>
          <w:rFonts w:ascii="Times New Roman" w:eastAsia="Calibri" w:hAnsi="Times New Roman" w:cs="Times New Roman"/>
          <w:sz w:val="24"/>
          <w:szCs w:val="24"/>
        </w:rPr>
      </w:pPr>
      <w:r w:rsidRPr="00E47339">
        <w:rPr>
          <w:rFonts w:ascii="Times New Roman" w:eastAsia="Calibri" w:hAnsi="Times New Roman" w:cs="Times New Roman"/>
          <w:b/>
          <w:sz w:val="24"/>
          <w:szCs w:val="24"/>
        </w:rPr>
        <w:t xml:space="preserve">Tablo 3: </w:t>
      </w:r>
      <w:r w:rsidRPr="00E47339">
        <w:rPr>
          <w:rFonts w:ascii="Times New Roman" w:eastAsia="Calibri" w:hAnsi="Times New Roman" w:cs="Times New Roman"/>
          <w:sz w:val="24"/>
          <w:szCs w:val="24"/>
        </w:rPr>
        <w:t>Mardin Fen Lisesi’nde ABO ve Rh Kan Grupları Dağılım Oranları</w:t>
      </w:r>
    </w:p>
    <w:tbl>
      <w:tblPr>
        <w:tblStyle w:val="TabloKlavuzu"/>
        <w:tblW w:w="9065" w:type="dxa"/>
        <w:tblLook w:val="04A0" w:firstRow="1" w:lastRow="0" w:firstColumn="1" w:lastColumn="0" w:noHBand="0" w:noVBand="1"/>
      </w:tblPr>
      <w:tblGrid>
        <w:gridCol w:w="1432"/>
        <w:gridCol w:w="1723"/>
        <w:gridCol w:w="1292"/>
        <w:gridCol w:w="1580"/>
        <w:gridCol w:w="1723"/>
        <w:gridCol w:w="1315"/>
      </w:tblGrid>
      <w:tr w:rsidR="00E47339" w:rsidRPr="00E47339" w:rsidTr="00E47339">
        <w:trPr>
          <w:trHeight w:val="316"/>
        </w:trPr>
        <w:tc>
          <w:tcPr>
            <w:tcW w:w="143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Kan Grubu</w:t>
            </w:r>
          </w:p>
        </w:tc>
        <w:tc>
          <w:tcPr>
            <w:tcW w:w="1723"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Denek Sayısı</w:t>
            </w:r>
          </w:p>
        </w:tc>
        <w:tc>
          <w:tcPr>
            <w:tcW w:w="129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Yüzde(%)</w:t>
            </w:r>
          </w:p>
        </w:tc>
        <w:tc>
          <w:tcPr>
            <w:tcW w:w="1580"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Rh(+), Rh(-)</w:t>
            </w:r>
          </w:p>
        </w:tc>
        <w:tc>
          <w:tcPr>
            <w:tcW w:w="1723"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Denek Sayısı</w:t>
            </w:r>
          </w:p>
        </w:tc>
        <w:tc>
          <w:tcPr>
            <w:tcW w:w="1315"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Yüzde(%)</w:t>
            </w:r>
          </w:p>
        </w:tc>
      </w:tr>
      <w:tr w:rsidR="00E47339" w:rsidRPr="00E47339" w:rsidTr="00E47339">
        <w:trPr>
          <w:trHeight w:val="371"/>
        </w:trPr>
        <w:tc>
          <w:tcPr>
            <w:tcW w:w="143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A</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149</w:t>
            </w:r>
          </w:p>
        </w:tc>
        <w:tc>
          <w:tcPr>
            <w:tcW w:w="1292"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34,41</w:t>
            </w:r>
          </w:p>
        </w:tc>
        <w:tc>
          <w:tcPr>
            <w:tcW w:w="1580" w:type="dxa"/>
          </w:tcPr>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A Rh(+)</w:t>
            </w:r>
          </w:p>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A Rh(-)</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121</w:t>
            </w:r>
          </w:p>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rPr>
              <w:t>28</w:t>
            </w:r>
          </w:p>
        </w:tc>
        <w:tc>
          <w:tcPr>
            <w:tcW w:w="1315"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28,34</w:t>
            </w:r>
          </w:p>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6.07</w:t>
            </w:r>
          </w:p>
        </w:tc>
      </w:tr>
      <w:tr w:rsidR="00E47339" w:rsidRPr="00E47339" w:rsidTr="00E47339">
        <w:trPr>
          <w:trHeight w:val="371"/>
        </w:trPr>
        <w:tc>
          <w:tcPr>
            <w:tcW w:w="143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B</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91</w:t>
            </w:r>
          </w:p>
        </w:tc>
        <w:tc>
          <w:tcPr>
            <w:tcW w:w="1292"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21,66</w:t>
            </w:r>
          </w:p>
        </w:tc>
        <w:tc>
          <w:tcPr>
            <w:tcW w:w="1580" w:type="dxa"/>
          </w:tcPr>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B Rh(+)</w:t>
            </w:r>
          </w:p>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B Rh(-)</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77</w:t>
            </w:r>
          </w:p>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14</w:t>
            </w:r>
          </w:p>
        </w:tc>
        <w:tc>
          <w:tcPr>
            <w:tcW w:w="1315"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18,83</w:t>
            </w:r>
          </w:p>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2,83</w:t>
            </w:r>
          </w:p>
        </w:tc>
      </w:tr>
      <w:tr w:rsidR="00E47339" w:rsidRPr="00E47339" w:rsidTr="00E47339">
        <w:trPr>
          <w:trHeight w:val="386"/>
        </w:trPr>
        <w:tc>
          <w:tcPr>
            <w:tcW w:w="143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AB</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61</w:t>
            </w:r>
          </w:p>
        </w:tc>
        <w:tc>
          <w:tcPr>
            <w:tcW w:w="1292"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14,98</w:t>
            </w:r>
          </w:p>
        </w:tc>
        <w:tc>
          <w:tcPr>
            <w:tcW w:w="1580" w:type="dxa"/>
          </w:tcPr>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AB Rh(+)</w:t>
            </w:r>
          </w:p>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AB Rh(-)</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52</w:t>
            </w:r>
          </w:p>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9</w:t>
            </w:r>
          </w:p>
        </w:tc>
        <w:tc>
          <w:tcPr>
            <w:tcW w:w="1315"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12,55</w:t>
            </w:r>
          </w:p>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2,43</w:t>
            </w:r>
          </w:p>
        </w:tc>
      </w:tr>
      <w:tr w:rsidR="00E47339" w:rsidRPr="00E47339" w:rsidTr="00E47339">
        <w:trPr>
          <w:trHeight w:val="371"/>
        </w:trPr>
        <w:tc>
          <w:tcPr>
            <w:tcW w:w="143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0</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129</w:t>
            </w:r>
          </w:p>
        </w:tc>
        <w:tc>
          <w:tcPr>
            <w:tcW w:w="1292"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28,95</w:t>
            </w:r>
          </w:p>
        </w:tc>
        <w:tc>
          <w:tcPr>
            <w:tcW w:w="1580" w:type="dxa"/>
          </w:tcPr>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0 Rh(+)</w:t>
            </w:r>
          </w:p>
          <w:p w:rsidR="00E47339" w:rsidRPr="00E47339" w:rsidRDefault="00E47339" w:rsidP="00E47339">
            <w:pPr>
              <w:rPr>
                <w:rFonts w:ascii="Times New Roman" w:eastAsia="Calibri" w:hAnsi="Times New Roman" w:cs="Times New Roman"/>
              </w:rPr>
            </w:pPr>
            <w:r w:rsidRPr="00E47339">
              <w:rPr>
                <w:rFonts w:ascii="Times New Roman" w:eastAsia="Calibri" w:hAnsi="Times New Roman" w:cs="Times New Roman"/>
              </w:rPr>
              <w:t xml:space="preserve">   0 Rh(-)</w:t>
            </w:r>
          </w:p>
        </w:tc>
        <w:tc>
          <w:tcPr>
            <w:tcW w:w="1723"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109</w:t>
            </w:r>
          </w:p>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rPr>
              <w:t>20</w:t>
            </w:r>
          </w:p>
        </w:tc>
        <w:tc>
          <w:tcPr>
            <w:tcW w:w="1315" w:type="dxa"/>
          </w:tcPr>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24,29</w:t>
            </w:r>
          </w:p>
          <w:p w:rsidR="00E47339" w:rsidRPr="00E47339" w:rsidRDefault="00E47339" w:rsidP="00E47339">
            <w:pPr>
              <w:jc w:val="center"/>
              <w:rPr>
                <w:rFonts w:ascii="Times New Roman" w:eastAsia="Calibri" w:hAnsi="Times New Roman" w:cs="Times New Roman"/>
              </w:rPr>
            </w:pPr>
            <w:r w:rsidRPr="00E47339">
              <w:rPr>
                <w:rFonts w:ascii="Times New Roman" w:eastAsia="Calibri" w:hAnsi="Times New Roman" w:cs="Times New Roman"/>
              </w:rPr>
              <w:t>4,66</w:t>
            </w:r>
          </w:p>
        </w:tc>
      </w:tr>
      <w:tr w:rsidR="00E47339" w:rsidRPr="00E47339" w:rsidTr="00E47339">
        <w:trPr>
          <w:trHeight w:val="371"/>
        </w:trPr>
        <w:tc>
          <w:tcPr>
            <w:tcW w:w="143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Toplam</w:t>
            </w:r>
          </w:p>
        </w:tc>
        <w:tc>
          <w:tcPr>
            <w:tcW w:w="1723"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430</w:t>
            </w:r>
          </w:p>
        </w:tc>
        <w:tc>
          <w:tcPr>
            <w:tcW w:w="1292"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100</w:t>
            </w:r>
          </w:p>
        </w:tc>
        <w:tc>
          <w:tcPr>
            <w:tcW w:w="1580" w:type="dxa"/>
          </w:tcPr>
          <w:p w:rsidR="00E47339" w:rsidRPr="00E47339" w:rsidRDefault="00E47339" w:rsidP="00E47339">
            <w:pPr>
              <w:jc w:val="center"/>
              <w:rPr>
                <w:rFonts w:ascii="Times New Roman" w:eastAsia="Calibri" w:hAnsi="Times New Roman" w:cs="Times New Roman"/>
                <w:b/>
              </w:rPr>
            </w:pPr>
          </w:p>
        </w:tc>
        <w:tc>
          <w:tcPr>
            <w:tcW w:w="1723"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430</w:t>
            </w:r>
          </w:p>
        </w:tc>
        <w:tc>
          <w:tcPr>
            <w:tcW w:w="1315" w:type="dxa"/>
          </w:tcPr>
          <w:p w:rsidR="00E47339" w:rsidRPr="00E47339" w:rsidRDefault="00E47339" w:rsidP="00E47339">
            <w:pPr>
              <w:jc w:val="center"/>
              <w:rPr>
                <w:rFonts w:ascii="Times New Roman" w:eastAsia="Calibri" w:hAnsi="Times New Roman" w:cs="Times New Roman"/>
                <w:b/>
              </w:rPr>
            </w:pPr>
            <w:r w:rsidRPr="00E47339">
              <w:rPr>
                <w:rFonts w:ascii="Times New Roman" w:eastAsia="Calibri" w:hAnsi="Times New Roman" w:cs="Times New Roman"/>
                <w:b/>
              </w:rPr>
              <w:t>100</w:t>
            </w:r>
          </w:p>
        </w:tc>
      </w:tr>
    </w:tbl>
    <w:p w:rsidR="00E47339" w:rsidRPr="00E47339" w:rsidRDefault="00E47339" w:rsidP="00E47339">
      <w:pPr>
        <w:spacing w:after="0" w:line="240" w:lineRule="auto"/>
        <w:jc w:val="both"/>
        <w:rPr>
          <w:rFonts w:ascii="Times New Roman" w:eastAsia="Calibri" w:hAnsi="Times New Roman" w:cs="Times New Roman"/>
          <w:b/>
          <w:sz w:val="24"/>
          <w:szCs w:val="24"/>
        </w:rPr>
      </w:pPr>
    </w:p>
    <w:p w:rsidR="00E47339" w:rsidRDefault="00E47339" w:rsidP="00BE58F1">
      <w:pPr>
        <w:spacing w:after="120"/>
        <w:jc w:val="both"/>
        <w:rPr>
          <w:rFonts w:ascii="Times New Roman" w:hAnsi="Times New Roman" w:cs="Times New Roman"/>
          <w:b/>
          <w:bCs/>
          <w:sz w:val="24"/>
          <w:szCs w:val="24"/>
        </w:rPr>
      </w:pPr>
      <w:r>
        <w:rPr>
          <w:noProof/>
          <w:lang w:eastAsia="tr-TR"/>
        </w:rPr>
        <w:drawing>
          <wp:inline distT="0" distB="0" distL="0" distR="0" wp14:anchorId="43B721AF" wp14:editId="6393FCDB">
            <wp:extent cx="5684808" cy="2363638"/>
            <wp:effectExtent l="0" t="0" r="11430" b="1778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E47339" w:rsidRDefault="00E47339" w:rsidP="00BE58F1">
      <w:pPr>
        <w:spacing w:after="120"/>
        <w:jc w:val="both"/>
        <w:rPr>
          <w:rFonts w:ascii="Times New Roman" w:hAnsi="Times New Roman" w:cs="Times New Roman"/>
          <w:b/>
          <w:bCs/>
          <w:sz w:val="24"/>
          <w:szCs w:val="24"/>
        </w:rPr>
      </w:pPr>
    </w:p>
    <w:p w:rsidR="00E47339" w:rsidRPr="00E47339" w:rsidRDefault="00E47339" w:rsidP="00E47339">
      <w:pPr>
        <w:spacing w:after="60" w:line="240" w:lineRule="auto"/>
        <w:jc w:val="both"/>
        <w:rPr>
          <w:rFonts w:ascii="Times New Roman" w:eastAsia="Calibri" w:hAnsi="Times New Roman" w:cs="Times New Roman"/>
          <w:b/>
          <w:sz w:val="24"/>
          <w:szCs w:val="24"/>
        </w:rPr>
      </w:pPr>
      <w:r w:rsidRPr="00E47339">
        <w:rPr>
          <w:rFonts w:ascii="Times New Roman" w:eastAsia="Calibri" w:hAnsi="Times New Roman" w:cs="Times New Roman"/>
          <w:b/>
          <w:sz w:val="24"/>
          <w:szCs w:val="24"/>
        </w:rPr>
        <w:lastRenderedPageBreak/>
        <w:t xml:space="preserve">Garfik 2: </w:t>
      </w:r>
      <w:r w:rsidRPr="00E47339">
        <w:rPr>
          <w:rFonts w:ascii="Times New Roman" w:eastAsia="Calibri" w:hAnsi="Times New Roman" w:cs="Times New Roman"/>
          <w:sz w:val="24"/>
          <w:szCs w:val="24"/>
        </w:rPr>
        <w:t>Mardin Fen Lisesinde ABO ve Rh Yalın Dağılım Yüzdeleri</w:t>
      </w:r>
    </w:p>
    <w:p w:rsidR="00E47339" w:rsidRDefault="00E47339" w:rsidP="00BE58F1">
      <w:pPr>
        <w:spacing w:after="120"/>
        <w:jc w:val="both"/>
        <w:rPr>
          <w:rFonts w:ascii="Times New Roman" w:hAnsi="Times New Roman" w:cs="Times New Roman"/>
          <w:b/>
          <w:bCs/>
          <w:sz w:val="24"/>
          <w:szCs w:val="24"/>
        </w:rPr>
      </w:pPr>
      <w:r>
        <w:rPr>
          <w:noProof/>
          <w:lang w:eastAsia="tr-TR"/>
        </w:rPr>
        <w:drawing>
          <wp:inline distT="0" distB="0" distL="0" distR="0" wp14:anchorId="63A7FEF7" wp14:editId="3EED4849">
            <wp:extent cx="2640711" cy="2055495"/>
            <wp:effectExtent l="0" t="0" r="7620" b="190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hAnsi="Times New Roman" w:cs="Times New Roman"/>
          <w:b/>
          <w:bCs/>
          <w:sz w:val="24"/>
          <w:szCs w:val="24"/>
        </w:rPr>
        <w:t xml:space="preserve">   </w:t>
      </w:r>
      <w:r>
        <w:rPr>
          <w:noProof/>
          <w:lang w:eastAsia="tr-TR"/>
        </w:rPr>
        <w:drawing>
          <wp:inline distT="0" distB="0" distL="0" distR="0" wp14:anchorId="1A201B70" wp14:editId="5CC96563">
            <wp:extent cx="2523744" cy="2040890"/>
            <wp:effectExtent l="0" t="0" r="10160" b="1651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47339" w:rsidRPr="00E47339" w:rsidRDefault="00E47339" w:rsidP="00E47339">
      <w:pPr>
        <w:spacing w:after="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Deneklerden elde edilen kan grubu, boy ve kilo bilgilerine çeşitli istatistik analizler uygulandı. Her denek için vücut kitle indeksi hesaplandı (VKI=kg/m</w:t>
      </w:r>
      <w:r w:rsidRPr="00E47339">
        <w:rPr>
          <w:rFonts w:ascii="Times New Roman" w:eastAsia="Calibri" w:hAnsi="Times New Roman" w:cs="Times New Roman"/>
          <w:sz w:val="24"/>
          <w:szCs w:val="24"/>
          <w:vertAlign w:val="superscript"/>
        </w:rPr>
        <w:t>2</w:t>
      </w:r>
      <w:r w:rsidRPr="00E47339">
        <w:rPr>
          <w:rFonts w:ascii="Times New Roman" w:eastAsia="Calibri" w:hAnsi="Times New Roman" w:cs="Times New Roman"/>
          <w:sz w:val="24"/>
          <w:szCs w:val="24"/>
        </w:rPr>
        <w:t>). Kan grubuna göre fazla kilolu ve obez bireyler belirlendi. Bu gruba giren bireyler için sağlıksız tanımı getirildi. Her kan grubu içinde sağlıksızların dağılım yüzdeleri hesaplandı. Böylelikle kan grubu ile vücut kitle indeksi arasındaki bağlantı analiz edildi. Kan grubunun kendi içindeki sağlıksızların dağılım yüzdeleri belirlendi ve sonuçlar genel ortalama ile karşılaştırıldı. Sonuçlar analiz edildiğinde; 0 kan grubuna sahip bireylerin % 10,85’i, A kan grubuna sahip olanların % 14,09’u, B kan gruplu kişilerin % 17,58’i ve AB kan gruplu olanların % 21,31’i VKİ açısından sağlıksız oldukları tespit edilmiştir. (Tablo 4, grafik 3)</w:t>
      </w:r>
    </w:p>
    <w:p w:rsidR="00E47339" w:rsidRDefault="00E47339" w:rsidP="00E47339">
      <w:pPr>
        <w:spacing w:after="60" w:line="240" w:lineRule="auto"/>
        <w:jc w:val="both"/>
        <w:rPr>
          <w:rFonts w:ascii="Times New Roman" w:eastAsia="Calibri" w:hAnsi="Times New Roman" w:cs="Times New Roman"/>
          <w:b/>
          <w:sz w:val="24"/>
          <w:szCs w:val="24"/>
        </w:rPr>
      </w:pPr>
    </w:p>
    <w:p w:rsidR="00E47339" w:rsidRPr="00E47339" w:rsidRDefault="00E47339" w:rsidP="00E47339">
      <w:pPr>
        <w:spacing w:after="60" w:line="240" w:lineRule="auto"/>
        <w:jc w:val="both"/>
        <w:rPr>
          <w:rFonts w:ascii="Times New Roman" w:eastAsia="Calibri" w:hAnsi="Times New Roman" w:cs="Times New Roman"/>
          <w:sz w:val="24"/>
          <w:szCs w:val="24"/>
        </w:rPr>
      </w:pPr>
      <w:r w:rsidRPr="00E47339">
        <w:rPr>
          <w:rFonts w:ascii="Times New Roman" w:eastAsia="Calibri" w:hAnsi="Times New Roman" w:cs="Times New Roman"/>
          <w:b/>
          <w:sz w:val="24"/>
          <w:szCs w:val="24"/>
        </w:rPr>
        <w:t>Tablo 4:</w:t>
      </w:r>
      <w:r w:rsidRPr="00E47339">
        <w:rPr>
          <w:rFonts w:ascii="Times New Roman" w:eastAsia="Calibri" w:hAnsi="Times New Roman" w:cs="Times New Roman"/>
          <w:sz w:val="24"/>
          <w:szCs w:val="24"/>
        </w:rPr>
        <w:t xml:space="preserve"> Kan Grubuna Göre Sağlıksızların Dağılım Yüzdeleri</w:t>
      </w:r>
    </w:p>
    <w:tbl>
      <w:tblPr>
        <w:tblW w:w="8284" w:type="dxa"/>
        <w:tblCellMar>
          <w:left w:w="70" w:type="dxa"/>
          <w:right w:w="70" w:type="dxa"/>
        </w:tblCellMar>
        <w:tblLook w:val="04A0" w:firstRow="1" w:lastRow="0" w:firstColumn="1" w:lastColumn="0" w:noHBand="0" w:noVBand="1"/>
      </w:tblPr>
      <w:tblGrid>
        <w:gridCol w:w="1683"/>
        <w:gridCol w:w="1380"/>
        <w:gridCol w:w="2457"/>
        <w:gridCol w:w="2764"/>
      </w:tblGrid>
      <w:tr w:rsidR="00E47339" w:rsidRPr="00E47339" w:rsidTr="00E47339">
        <w:trPr>
          <w:trHeight w:val="465"/>
        </w:trPr>
        <w:tc>
          <w:tcPr>
            <w:tcW w:w="1683" w:type="dxa"/>
            <w:tcBorders>
              <w:top w:val="single" w:sz="4" w:space="0" w:color="auto"/>
              <w:left w:val="single" w:sz="4" w:space="0" w:color="auto"/>
              <w:bottom w:val="single" w:sz="4" w:space="0" w:color="auto"/>
              <w:right w:val="single" w:sz="4" w:space="0" w:color="auto"/>
            </w:tcBorders>
            <w:shd w:val="clear" w:color="000000" w:fill="ED7D31"/>
            <w:vAlign w:val="bottom"/>
            <w:hideMark/>
          </w:tcPr>
          <w:p w:rsidR="00E47339" w:rsidRPr="00E47339" w:rsidRDefault="00E47339" w:rsidP="00E47339">
            <w:pPr>
              <w:spacing w:after="8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KAN GRUBU</w:t>
            </w:r>
          </w:p>
        </w:tc>
        <w:tc>
          <w:tcPr>
            <w:tcW w:w="1380" w:type="dxa"/>
            <w:tcBorders>
              <w:top w:val="single" w:sz="4" w:space="0" w:color="auto"/>
              <w:left w:val="nil"/>
              <w:bottom w:val="single" w:sz="4" w:space="0" w:color="auto"/>
              <w:right w:val="single" w:sz="4" w:space="0" w:color="auto"/>
            </w:tcBorders>
            <w:shd w:val="clear" w:color="000000" w:fill="ED7D31"/>
            <w:vAlign w:val="bottom"/>
            <w:hideMark/>
          </w:tcPr>
          <w:p w:rsidR="00E47339" w:rsidRPr="00E47339" w:rsidRDefault="00E47339" w:rsidP="00E47339">
            <w:pPr>
              <w:spacing w:after="8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KİŞİ SAYISI</w:t>
            </w:r>
          </w:p>
        </w:tc>
        <w:tc>
          <w:tcPr>
            <w:tcW w:w="2457" w:type="dxa"/>
            <w:tcBorders>
              <w:top w:val="single" w:sz="4" w:space="0" w:color="auto"/>
              <w:left w:val="nil"/>
              <w:bottom w:val="single" w:sz="4" w:space="0" w:color="auto"/>
              <w:right w:val="single" w:sz="4" w:space="0" w:color="auto"/>
            </w:tcBorders>
            <w:shd w:val="clear" w:color="000000" w:fill="ED7D31"/>
            <w:vAlign w:val="bottom"/>
            <w:hideMark/>
          </w:tcPr>
          <w:p w:rsidR="00E47339" w:rsidRPr="00E47339" w:rsidRDefault="00E47339" w:rsidP="00E47339">
            <w:pPr>
              <w:spacing w:after="8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SAĞLIKSIZLARIN SAYISI</w:t>
            </w:r>
          </w:p>
        </w:tc>
        <w:tc>
          <w:tcPr>
            <w:tcW w:w="2764" w:type="dxa"/>
            <w:tcBorders>
              <w:top w:val="single" w:sz="4" w:space="0" w:color="auto"/>
              <w:left w:val="nil"/>
              <w:bottom w:val="single" w:sz="4" w:space="0" w:color="auto"/>
              <w:right w:val="single" w:sz="4" w:space="0" w:color="auto"/>
            </w:tcBorders>
            <w:shd w:val="clear" w:color="000000" w:fill="ED7D31"/>
            <w:vAlign w:val="bottom"/>
            <w:hideMark/>
          </w:tcPr>
          <w:p w:rsidR="00E47339" w:rsidRPr="00E47339" w:rsidRDefault="00E47339" w:rsidP="00E47339">
            <w:pPr>
              <w:spacing w:after="8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SAĞLIKSIZLARIN YÜZDESİ</w:t>
            </w:r>
          </w:p>
        </w:tc>
      </w:tr>
      <w:tr w:rsidR="00E47339" w:rsidRPr="00E47339" w:rsidTr="00E47339">
        <w:trPr>
          <w:trHeight w:val="359"/>
        </w:trPr>
        <w:tc>
          <w:tcPr>
            <w:tcW w:w="1683" w:type="dxa"/>
            <w:tcBorders>
              <w:top w:val="nil"/>
              <w:left w:val="single" w:sz="4" w:space="0" w:color="auto"/>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O</w:t>
            </w:r>
          </w:p>
        </w:tc>
        <w:tc>
          <w:tcPr>
            <w:tcW w:w="1380" w:type="dxa"/>
            <w:tcBorders>
              <w:top w:val="nil"/>
              <w:left w:val="nil"/>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129</w:t>
            </w:r>
          </w:p>
        </w:tc>
        <w:tc>
          <w:tcPr>
            <w:tcW w:w="2457" w:type="dxa"/>
            <w:tcBorders>
              <w:top w:val="nil"/>
              <w:left w:val="nil"/>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14</w:t>
            </w:r>
          </w:p>
        </w:tc>
        <w:tc>
          <w:tcPr>
            <w:tcW w:w="2764" w:type="dxa"/>
            <w:tcBorders>
              <w:top w:val="nil"/>
              <w:left w:val="nil"/>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10,85</w:t>
            </w:r>
          </w:p>
        </w:tc>
      </w:tr>
      <w:tr w:rsidR="00E47339" w:rsidRPr="00E47339" w:rsidTr="00E47339">
        <w:trPr>
          <w:trHeight w:val="359"/>
        </w:trPr>
        <w:tc>
          <w:tcPr>
            <w:tcW w:w="1683" w:type="dxa"/>
            <w:tcBorders>
              <w:top w:val="nil"/>
              <w:left w:val="single" w:sz="4" w:space="0" w:color="auto"/>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A</w:t>
            </w:r>
          </w:p>
        </w:tc>
        <w:tc>
          <w:tcPr>
            <w:tcW w:w="1380" w:type="dxa"/>
            <w:tcBorders>
              <w:top w:val="nil"/>
              <w:left w:val="nil"/>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149</w:t>
            </w:r>
          </w:p>
        </w:tc>
        <w:tc>
          <w:tcPr>
            <w:tcW w:w="2457" w:type="dxa"/>
            <w:tcBorders>
              <w:top w:val="nil"/>
              <w:left w:val="nil"/>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21</w:t>
            </w:r>
          </w:p>
        </w:tc>
        <w:tc>
          <w:tcPr>
            <w:tcW w:w="2764" w:type="dxa"/>
            <w:tcBorders>
              <w:top w:val="nil"/>
              <w:left w:val="nil"/>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14,09</w:t>
            </w:r>
          </w:p>
        </w:tc>
      </w:tr>
      <w:tr w:rsidR="00E47339" w:rsidRPr="00E47339" w:rsidTr="00E47339">
        <w:trPr>
          <w:trHeight w:val="359"/>
        </w:trPr>
        <w:tc>
          <w:tcPr>
            <w:tcW w:w="1683" w:type="dxa"/>
            <w:tcBorders>
              <w:top w:val="nil"/>
              <w:left w:val="single" w:sz="4" w:space="0" w:color="auto"/>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B</w:t>
            </w:r>
          </w:p>
        </w:tc>
        <w:tc>
          <w:tcPr>
            <w:tcW w:w="1380" w:type="dxa"/>
            <w:tcBorders>
              <w:top w:val="nil"/>
              <w:left w:val="nil"/>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91</w:t>
            </w:r>
          </w:p>
        </w:tc>
        <w:tc>
          <w:tcPr>
            <w:tcW w:w="2457" w:type="dxa"/>
            <w:tcBorders>
              <w:top w:val="nil"/>
              <w:left w:val="nil"/>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16</w:t>
            </w:r>
          </w:p>
        </w:tc>
        <w:tc>
          <w:tcPr>
            <w:tcW w:w="2764" w:type="dxa"/>
            <w:tcBorders>
              <w:top w:val="nil"/>
              <w:left w:val="nil"/>
              <w:bottom w:val="single" w:sz="4" w:space="0" w:color="auto"/>
              <w:right w:val="single" w:sz="4" w:space="0" w:color="auto"/>
            </w:tcBorders>
            <w:shd w:val="clear" w:color="000000" w:fill="A9D08E"/>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17,58</w:t>
            </w:r>
          </w:p>
        </w:tc>
      </w:tr>
      <w:tr w:rsidR="00E47339" w:rsidRPr="00E47339" w:rsidTr="00E47339">
        <w:trPr>
          <w:trHeight w:val="359"/>
        </w:trPr>
        <w:tc>
          <w:tcPr>
            <w:tcW w:w="1683" w:type="dxa"/>
            <w:tcBorders>
              <w:top w:val="nil"/>
              <w:left w:val="single" w:sz="4" w:space="0" w:color="auto"/>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 xml:space="preserve"> AB</w:t>
            </w:r>
          </w:p>
        </w:tc>
        <w:tc>
          <w:tcPr>
            <w:tcW w:w="1380" w:type="dxa"/>
            <w:tcBorders>
              <w:top w:val="nil"/>
              <w:left w:val="nil"/>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61</w:t>
            </w:r>
          </w:p>
        </w:tc>
        <w:tc>
          <w:tcPr>
            <w:tcW w:w="2457" w:type="dxa"/>
            <w:tcBorders>
              <w:top w:val="nil"/>
              <w:left w:val="nil"/>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13</w:t>
            </w:r>
          </w:p>
        </w:tc>
        <w:tc>
          <w:tcPr>
            <w:tcW w:w="2764" w:type="dxa"/>
            <w:tcBorders>
              <w:top w:val="nil"/>
              <w:left w:val="nil"/>
              <w:bottom w:val="single" w:sz="4" w:space="0" w:color="auto"/>
              <w:right w:val="single" w:sz="4" w:space="0" w:color="auto"/>
            </w:tcBorders>
            <w:shd w:val="clear" w:color="000000" w:fill="9BC2E6"/>
            <w:noWrap/>
            <w:vAlign w:val="center"/>
            <w:hideMark/>
          </w:tcPr>
          <w:p w:rsidR="00E47339" w:rsidRPr="00E47339" w:rsidRDefault="00E47339" w:rsidP="00E47339">
            <w:pPr>
              <w:spacing w:after="0" w:line="240" w:lineRule="auto"/>
              <w:jc w:val="center"/>
              <w:rPr>
                <w:rFonts w:ascii="Calibri" w:eastAsia="Times New Roman" w:hAnsi="Calibri" w:cs="Calibri"/>
                <w:bCs/>
                <w:color w:val="000000"/>
                <w:lang w:eastAsia="tr-TR"/>
              </w:rPr>
            </w:pPr>
            <w:r w:rsidRPr="00E47339">
              <w:rPr>
                <w:rFonts w:ascii="Calibri" w:eastAsia="Times New Roman" w:hAnsi="Calibri" w:cs="Calibri"/>
                <w:bCs/>
                <w:color w:val="000000"/>
                <w:lang w:eastAsia="tr-TR"/>
              </w:rPr>
              <w:t>21,31</w:t>
            </w:r>
          </w:p>
        </w:tc>
      </w:tr>
      <w:tr w:rsidR="00E47339" w:rsidRPr="00E47339" w:rsidTr="00E47339">
        <w:trPr>
          <w:trHeight w:val="212"/>
        </w:trPr>
        <w:tc>
          <w:tcPr>
            <w:tcW w:w="1683" w:type="dxa"/>
            <w:tcBorders>
              <w:top w:val="nil"/>
              <w:left w:val="single" w:sz="4" w:space="0" w:color="auto"/>
              <w:bottom w:val="nil"/>
              <w:right w:val="single" w:sz="4" w:space="0" w:color="auto"/>
            </w:tcBorders>
            <w:shd w:val="clear" w:color="000000" w:fill="FFFF00"/>
            <w:noWrap/>
            <w:vAlign w:val="bottom"/>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TOPLAM</w:t>
            </w:r>
          </w:p>
        </w:tc>
        <w:tc>
          <w:tcPr>
            <w:tcW w:w="1380" w:type="dxa"/>
            <w:tcBorders>
              <w:top w:val="nil"/>
              <w:left w:val="nil"/>
              <w:bottom w:val="nil"/>
              <w:right w:val="single" w:sz="4" w:space="0" w:color="auto"/>
            </w:tcBorders>
            <w:shd w:val="clear" w:color="000000" w:fill="FFFF00"/>
            <w:noWrap/>
            <w:vAlign w:val="bottom"/>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430</w:t>
            </w:r>
          </w:p>
        </w:tc>
        <w:tc>
          <w:tcPr>
            <w:tcW w:w="2457" w:type="dxa"/>
            <w:tcBorders>
              <w:top w:val="nil"/>
              <w:left w:val="nil"/>
              <w:bottom w:val="nil"/>
              <w:right w:val="single" w:sz="4" w:space="0" w:color="auto"/>
            </w:tcBorders>
            <w:shd w:val="clear" w:color="000000" w:fill="FFFF00"/>
            <w:noWrap/>
            <w:vAlign w:val="bottom"/>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64</w:t>
            </w:r>
          </w:p>
        </w:tc>
        <w:tc>
          <w:tcPr>
            <w:tcW w:w="2764" w:type="dxa"/>
            <w:tcBorders>
              <w:top w:val="nil"/>
              <w:left w:val="nil"/>
              <w:bottom w:val="nil"/>
              <w:right w:val="single" w:sz="4" w:space="0" w:color="auto"/>
            </w:tcBorders>
            <w:shd w:val="clear" w:color="000000" w:fill="FFFF00"/>
            <w:noWrap/>
            <w:vAlign w:val="center"/>
            <w:hideMark/>
          </w:tcPr>
          <w:p w:rsidR="00E47339" w:rsidRPr="00E47339" w:rsidRDefault="00E47339" w:rsidP="00E47339">
            <w:pPr>
              <w:spacing w:after="0" w:line="240" w:lineRule="auto"/>
              <w:jc w:val="center"/>
              <w:rPr>
                <w:rFonts w:ascii="Calibri" w:eastAsia="Times New Roman" w:hAnsi="Calibri" w:cs="Calibri"/>
                <w:b/>
                <w:bCs/>
                <w:color w:val="000000"/>
                <w:lang w:eastAsia="tr-TR"/>
              </w:rPr>
            </w:pPr>
            <w:r w:rsidRPr="00E47339">
              <w:rPr>
                <w:rFonts w:ascii="Calibri" w:eastAsia="Times New Roman" w:hAnsi="Calibri" w:cs="Calibri"/>
                <w:b/>
                <w:bCs/>
                <w:color w:val="000000"/>
                <w:lang w:eastAsia="tr-TR"/>
              </w:rPr>
              <w:t>14,88</w:t>
            </w:r>
          </w:p>
        </w:tc>
      </w:tr>
      <w:tr w:rsidR="00E47339" w:rsidRPr="00E47339" w:rsidTr="00E47339">
        <w:trPr>
          <w:trHeight w:val="212"/>
        </w:trPr>
        <w:tc>
          <w:tcPr>
            <w:tcW w:w="1683" w:type="dxa"/>
            <w:tcBorders>
              <w:top w:val="nil"/>
              <w:left w:val="single" w:sz="4" w:space="0" w:color="auto"/>
              <w:bottom w:val="single" w:sz="4" w:space="0" w:color="auto"/>
              <w:right w:val="single" w:sz="4" w:space="0" w:color="auto"/>
            </w:tcBorders>
            <w:shd w:val="clear" w:color="000000" w:fill="FFFF00"/>
            <w:noWrap/>
            <w:vAlign w:val="bottom"/>
          </w:tcPr>
          <w:p w:rsidR="00E47339" w:rsidRPr="00E47339" w:rsidRDefault="00E47339" w:rsidP="00E47339">
            <w:pPr>
              <w:spacing w:after="0" w:line="240" w:lineRule="auto"/>
              <w:jc w:val="center"/>
              <w:rPr>
                <w:rFonts w:ascii="Calibri" w:eastAsia="Times New Roman" w:hAnsi="Calibri" w:cs="Calibri"/>
                <w:b/>
                <w:bCs/>
                <w:color w:val="000000"/>
                <w:lang w:eastAsia="tr-TR"/>
              </w:rPr>
            </w:pPr>
          </w:p>
        </w:tc>
        <w:tc>
          <w:tcPr>
            <w:tcW w:w="1380" w:type="dxa"/>
            <w:tcBorders>
              <w:top w:val="nil"/>
              <w:left w:val="nil"/>
              <w:bottom w:val="single" w:sz="4" w:space="0" w:color="auto"/>
              <w:right w:val="single" w:sz="4" w:space="0" w:color="auto"/>
            </w:tcBorders>
            <w:shd w:val="clear" w:color="000000" w:fill="FFFF00"/>
            <w:noWrap/>
            <w:vAlign w:val="bottom"/>
          </w:tcPr>
          <w:p w:rsidR="00E47339" w:rsidRPr="00E47339" w:rsidRDefault="00E47339" w:rsidP="00E47339">
            <w:pPr>
              <w:spacing w:after="0" w:line="240" w:lineRule="auto"/>
              <w:jc w:val="center"/>
              <w:rPr>
                <w:rFonts w:ascii="Calibri" w:eastAsia="Times New Roman" w:hAnsi="Calibri" w:cs="Calibri"/>
                <w:b/>
                <w:bCs/>
                <w:color w:val="000000"/>
                <w:lang w:eastAsia="tr-TR"/>
              </w:rPr>
            </w:pPr>
          </w:p>
        </w:tc>
        <w:tc>
          <w:tcPr>
            <w:tcW w:w="2457" w:type="dxa"/>
            <w:tcBorders>
              <w:top w:val="nil"/>
              <w:left w:val="nil"/>
              <w:bottom w:val="single" w:sz="4" w:space="0" w:color="auto"/>
              <w:right w:val="single" w:sz="4" w:space="0" w:color="auto"/>
            </w:tcBorders>
            <w:shd w:val="clear" w:color="000000" w:fill="FFFF00"/>
            <w:noWrap/>
            <w:vAlign w:val="bottom"/>
          </w:tcPr>
          <w:p w:rsidR="00E47339" w:rsidRPr="00E47339" w:rsidRDefault="00E47339" w:rsidP="00E47339">
            <w:pPr>
              <w:spacing w:after="0" w:line="240" w:lineRule="auto"/>
              <w:jc w:val="center"/>
              <w:rPr>
                <w:rFonts w:ascii="Calibri" w:eastAsia="Times New Roman" w:hAnsi="Calibri" w:cs="Calibri"/>
                <w:b/>
                <w:bCs/>
                <w:color w:val="000000"/>
                <w:lang w:eastAsia="tr-TR"/>
              </w:rPr>
            </w:pPr>
          </w:p>
        </w:tc>
        <w:tc>
          <w:tcPr>
            <w:tcW w:w="2764" w:type="dxa"/>
            <w:tcBorders>
              <w:top w:val="nil"/>
              <w:left w:val="nil"/>
              <w:bottom w:val="single" w:sz="4" w:space="0" w:color="auto"/>
              <w:right w:val="single" w:sz="4" w:space="0" w:color="auto"/>
            </w:tcBorders>
            <w:shd w:val="clear" w:color="000000" w:fill="FFFF00"/>
            <w:noWrap/>
            <w:vAlign w:val="center"/>
          </w:tcPr>
          <w:p w:rsidR="00E47339" w:rsidRPr="00E47339" w:rsidRDefault="00E47339" w:rsidP="00E47339">
            <w:pPr>
              <w:spacing w:after="0" w:line="240" w:lineRule="auto"/>
              <w:jc w:val="center"/>
              <w:rPr>
                <w:rFonts w:ascii="Calibri" w:eastAsia="Times New Roman" w:hAnsi="Calibri" w:cs="Calibri"/>
                <w:b/>
                <w:bCs/>
                <w:color w:val="000000"/>
                <w:lang w:eastAsia="tr-TR"/>
              </w:rPr>
            </w:pPr>
          </w:p>
        </w:tc>
      </w:tr>
    </w:tbl>
    <w:p w:rsidR="00E47339" w:rsidRDefault="00E47339" w:rsidP="00BE58F1">
      <w:pPr>
        <w:spacing w:after="120"/>
        <w:jc w:val="both"/>
        <w:rPr>
          <w:rFonts w:ascii="Times New Roman" w:hAnsi="Times New Roman" w:cs="Times New Roman"/>
          <w:b/>
          <w:bCs/>
          <w:sz w:val="24"/>
          <w:szCs w:val="24"/>
        </w:rPr>
      </w:pPr>
      <w:r>
        <w:rPr>
          <w:noProof/>
          <w:lang w:eastAsia="tr-TR"/>
        </w:rPr>
        <w:drawing>
          <wp:inline distT="0" distB="0" distL="0" distR="0" wp14:anchorId="555418CA" wp14:editId="1647F186">
            <wp:extent cx="5270740" cy="2898476"/>
            <wp:effectExtent l="0" t="0" r="25400" b="1651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47339" w:rsidRPr="00E47339" w:rsidRDefault="00E47339" w:rsidP="00E47339">
      <w:pPr>
        <w:spacing w:after="120" w:line="240" w:lineRule="auto"/>
        <w:ind w:firstLine="708"/>
        <w:jc w:val="both"/>
        <w:rPr>
          <w:rFonts w:ascii="Times New Roman" w:eastAsia="Calibri" w:hAnsi="Times New Roman" w:cs="Times New Roman"/>
          <w:b/>
          <w:sz w:val="24"/>
          <w:szCs w:val="24"/>
        </w:rPr>
      </w:pPr>
      <w:r w:rsidRPr="00E47339">
        <w:rPr>
          <w:rFonts w:ascii="Times New Roman" w:eastAsia="Calibri" w:hAnsi="Times New Roman" w:cs="Times New Roman"/>
          <w:b/>
          <w:sz w:val="24"/>
          <w:szCs w:val="24"/>
        </w:rPr>
        <w:lastRenderedPageBreak/>
        <w:t>SONUÇ VE TARTIŞMA</w:t>
      </w:r>
    </w:p>
    <w:p w:rsidR="00E47339" w:rsidRPr="00E47339" w:rsidRDefault="00E47339" w:rsidP="00E47339">
      <w:pPr>
        <w:spacing w:after="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Kan gruplarına göre beslenme alışkanlığı bilimsel açıdan tam olarak ortaya konulmamış olsa da, medyada, dijital platformlarda, yazılı ve görsel basında son zamanlarda çok popüler olduğu görülmektedir. Birçok diyet kan gruplarına göre belirlenmektedir. Mardin Fen Lisesi’nde 430 denek üzerinde yapılan çalışmalar analiz edildiğinde Tüm kan grupları dikkate alındığında sağlıksızların oranı % 14,88 olarak ölçülmüştür. 0 grubu %10,85, A grubu %14,09 ile ortalamanın altında iken, AB grubu % 21,31, B grubu ise % 17,58 ile ortalamanın üzerinde çıkmıştır. Bu durum analiz edildiğinde alyuvar zarında B antijeni bulunduranların obeziteye daha yatkın oldukları söylenebilir. ABO-Rh kan grupları ile obezite ve bazı hastalıklar arasındaki muhtemel ilişkiyi inceleyen çeşitli araştırmalar olmakla birlikte literatürde bu konu ile ilgili yapılan çalışmaların sayısı oldukça azdır. Kesin bir sonucu ulaşmak için geniş katılımlı daha fazla bilimsel çalışmaya ihtiyaç duyulmaktadır.</w:t>
      </w:r>
    </w:p>
    <w:p w:rsidR="00E47339" w:rsidRPr="00E47339" w:rsidRDefault="00E47339" w:rsidP="00E47339">
      <w:pPr>
        <w:spacing w:after="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Herhangi bir beslenme planı veya diyet programı seçerken kan grubuna dikkat etmekle birlikte kişisel ihtiyaçlar ve sağlık durumunu da göz önünde bulundurmak gerekir. Kan grubuna göre beslenme kişinin sindirim ve dolaşım sistemi, metabolizması ve genel sağlık durumu üzerinde olumlu sonuçlar doğurabilir. Daha net sonuçların ortaya konabilmesi için kan grubu ve beslenme ilişkisi ile ilgili geniş katılımlı daha çok araştırmaya ihtiyaç vardır.</w:t>
      </w:r>
    </w:p>
    <w:p w:rsidR="00E47339" w:rsidRPr="00E47339" w:rsidRDefault="00E47339" w:rsidP="00E47339">
      <w:pPr>
        <w:spacing w:after="0" w:line="240" w:lineRule="auto"/>
        <w:jc w:val="both"/>
        <w:rPr>
          <w:rFonts w:ascii="Times New Roman" w:eastAsia="Calibri" w:hAnsi="Times New Roman" w:cs="Times New Roman"/>
          <w:b/>
          <w:sz w:val="24"/>
          <w:szCs w:val="24"/>
        </w:rPr>
      </w:pPr>
    </w:p>
    <w:p w:rsidR="00E47339" w:rsidRPr="00E47339" w:rsidRDefault="00E47339" w:rsidP="00E47339">
      <w:pPr>
        <w:spacing w:after="0" w:line="240" w:lineRule="auto"/>
        <w:jc w:val="both"/>
        <w:rPr>
          <w:rFonts w:ascii="Times New Roman" w:eastAsia="Calibri" w:hAnsi="Times New Roman" w:cs="Times New Roman"/>
          <w:b/>
          <w:sz w:val="24"/>
          <w:szCs w:val="24"/>
        </w:rPr>
      </w:pPr>
    </w:p>
    <w:p w:rsidR="00E47339" w:rsidRPr="00E47339" w:rsidRDefault="00E47339" w:rsidP="00E47339">
      <w:pPr>
        <w:spacing w:after="120" w:line="240" w:lineRule="auto"/>
        <w:ind w:firstLine="708"/>
        <w:jc w:val="both"/>
        <w:rPr>
          <w:rFonts w:ascii="Times New Roman" w:eastAsia="Calibri" w:hAnsi="Times New Roman" w:cs="Times New Roman"/>
          <w:b/>
          <w:sz w:val="24"/>
          <w:szCs w:val="24"/>
        </w:rPr>
      </w:pPr>
      <w:r w:rsidRPr="00E47339">
        <w:rPr>
          <w:rFonts w:ascii="Times New Roman" w:eastAsia="Calibri" w:hAnsi="Times New Roman" w:cs="Times New Roman"/>
          <w:b/>
          <w:sz w:val="24"/>
          <w:szCs w:val="24"/>
        </w:rPr>
        <w:t>ÖNERİLER</w:t>
      </w:r>
    </w:p>
    <w:p w:rsidR="00E47339" w:rsidRPr="00E47339" w:rsidRDefault="00E47339" w:rsidP="00E47339">
      <w:pPr>
        <w:spacing w:after="12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Eldeki verilere göre kan grubuna göre beslenme diyeti yapmak isteyen kişilere sunabileceğimiz bazı öneriler şöyledir;</w:t>
      </w:r>
    </w:p>
    <w:p w:rsidR="00E47339" w:rsidRPr="00E47339" w:rsidRDefault="00E47339" w:rsidP="00E47339">
      <w:pPr>
        <w:spacing w:after="12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u w:val="single"/>
        </w:rPr>
        <w:t>0 Grubu</w:t>
      </w:r>
      <w:r w:rsidRPr="00E47339">
        <w:rPr>
          <w:rFonts w:ascii="Times New Roman" w:eastAsia="Calibri" w:hAnsi="Times New Roman" w:cs="Times New Roman"/>
          <w:sz w:val="24"/>
          <w:szCs w:val="24"/>
        </w:rPr>
        <w:t>: Sıfır kan grubuna sahip kişiler protein açısından zengin, karbonhidrat açısından ise fakir gıdaları tercih etmelidir. Bu gruba sahip kişiler kırmızı eti iyi sindirirler. Bu nedenle dana ve kuzu eti uygun miktarda rahatlıkla tüketilebilir. Ayrıca deniz ürünleri, zeytinyağı ve diğer yağlı gıdalardan da destek almaları önerilir. Tahıl ve süt ürünlerinden ise uzak durmaları tavsiye edilir (Bayrakdar, 2019).</w:t>
      </w:r>
    </w:p>
    <w:p w:rsidR="00E47339" w:rsidRPr="00E47339" w:rsidRDefault="00E47339" w:rsidP="00E47339">
      <w:pPr>
        <w:spacing w:after="12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u w:val="single"/>
        </w:rPr>
        <w:t>A Grubu</w:t>
      </w:r>
      <w:r w:rsidRPr="00E47339">
        <w:rPr>
          <w:rFonts w:ascii="Times New Roman" w:eastAsia="Calibri" w:hAnsi="Times New Roman" w:cs="Times New Roman"/>
          <w:sz w:val="24"/>
          <w:szCs w:val="24"/>
        </w:rPr>
        <w:t>: A kan gruplu kişilerin bağışıklık sistemi diğer gruplara göre daha zayıftır. Bu nedenle sebze ve meyve ağırlıklı beslenmeleri önerilir. Mantar, mercimek, yulaf, buğday gibi gıdalar tüketilebilir. Balık ve tavuk gibi beyaz et dışındaki diğer et ve et ürünlerinden uzak durmaları gerekir. Yağlı süt ürünleri yerine zeytinyağı, ceviz ve keten tohumu gibi bitkisel yağlarla beslenebilirler (Bayrakdar 2019, Aynacı, 2018).</w:t>
      </w:r>
    </w:p>
    <w:p w:rsidR="00E47339" w:rsidRPr="00E47339" w:rsidRDefault="00E47339" w:rsidP="00E47339">
      <w:pPr>
        <w:spacing w:after="12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u w:val="single"/>
        </w:rPr>
        <w:t>B Grubu</w:t>
      </w:r>
      <w:r w:rsidRPr="00E47339">
        <w:rPr>
          <w:rFonts w:ascii="Times New Roman" w:eastAsia="Calibri" w:hAnsi="Times New Roman" w:cs="Times New Roman"/>
          <w:sz w:val="24"/>
          <w:szCs w:val="24"/>
        </w:rPr>
        <w:t>: Tavuk, deniz ürünleri, fasulye, nohut, mercimek gibi baklagiller, domates, mısır ve yerfıstığı, aşırı kırmızı et tüketimi önerilmez. Yumurta, ceviz, balık, süt ürünleri, Brokoli, ıspanak, lahana kabak yeşil fasulye gibi yeşil ağırlıklı sebzeler ile nar, karpuz, üzüm, çilek ve elma gibi kırmızı renkli meyvelerin tüketimi önerilir ( Bayrakdar 2019, ozelbeslenme.com).</w:t>
      </w:r>
    </w:p>
    <w:p w:rsidR="00E47339" w:rsidRPr="00E47339" w:rsidRDefault="00E47339" w:rsidP="00E47339">
      <w:pPr>
        <w:spacing w:after="12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u w:val="single"/>
        </w:rPr>
        <w:t>AB Grubu</w:t>
      </w:r>
      <w:r w:rsidRPr="00E47339">
        <w:rPr>
          <w:rFonts w:ascii="Times New Roman" w:eastAsia="Calibri" w:hAnsi="Times New Roman" w:cs="Times New Roman"/>
          <w:sz w:val="24"/>
          <w:szCs w:val="24"/>
        </w:rPr>
        <w:t>: Fasulye, kırmızı et, kabuklu deniz ürünleri, zeytinyağı hariç bitkisel yağlar, katı yağlar ve domates salçası kaçınılması gereken besinlerdir. Süt ve süt ürünleri, yumurta, lahana, kabak, enginar, kereviz, havuç, patates gibi sebzeler, tam buğday, esmer pirinç, yulaf, mısır, çavdar gibi tahıllar ve özellikle sarı renkli meyvelerden kavun, ananas, armut, kayısı, muz tüketilebilir (Bayrakdar 2019, evdesaglık.com).</w:t>
      </w:r>
    </w:p>
    <w:p w:rsidR="00E47339" w:rsidRPr="00E47339" w:rsidRDefault="00E47339" w:rsidP="00E47339">
      <w:pPr>
        <w:spacing w:after="120" w:line="240" w:lineRule="auto"/>
        <w:ind w:firstLine="708"/>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Besinlerin çeşidi kadar tüketim miktarı, tazeliği ve doğal oluşu da önemlidir. Doğru ve zamanında beslenme, hareketli yaşam tarzı da sağlık için önemli etkenlerdendir.</w:t>
      </w:r>
    </w:p>
    <w:p w:rsidR="00E47339" w:rsidRDefault="00E47339" w:rsidP="00E47339">
      <w:pPr>
        <w:spacing w:after="0" w:line="240" w:lineRule="auto"/>
        <w:jc w:val="both"/>
        <w:rPr>
          <w:rFonts w:ascii="Times New Roman" w:hAnsi="Times New Roman" w:cs="Times New Roman"/>
          <w:b/>
          <w:bCs/>
          <w:sz w:val="24"/>
          <w:szCs w:val="24"/>
        </w:rPr>
      </w:pPr>
    </w:p>
    <w:p w:rsidR="00E47339" w:rsidRDefault="00E47339" w:rsidP="00E47339">
      <w:pPr>
        <w:spacing w:after="0" w:line="240" w:lineRule="auto"/>
        <w:jc w:val="both"/>
        <w:rPr>
          <w:rFonts w:ascii="Times New Roman" w:hAnsi="Times New Roman" w:cs="Times New Roman"/>
          <w:b/>
          <w:bCs/>
          <w:sz w:val="24"/>
          <w:szCs w:val="24"/>
        </w:rPr>
      </w:pPr>
    </w:p>
    <w:p w:rsidR="00E47339" w:rsidRDefault="00E47339" w:rsidP="00E47339">
      <w:pPr>
        <w:spacing w:after="0" w:line="240" w:lineRule="auto"/>
        <w:jc w:val="both"/>
        <w:rPr>
          <w:rFonts w:ascii="Times New Roman" w:hAnsi="Times New Roman" w:cs="Times New Roman"/>
          <w:b/>
          <w:bCs/>
          <w:sz w:val="24"/>
          <w:szCs w:val="24"/>
        </w:rPr>
      </w:pPr>
    </w:p>
    <w:p w:rsidR="00E47339" w:rsidRPr="00E47339" w:rsidRDefault="00E47339" w:rsidP="00E47339">
      <w:pPr>
        <w:spacing w:after="0" w:line="240" w:lineRule="auto"/>
        <w:jc w:val="both"/>
        <w:rPr>
          <w:rFonts w:ascii="Times New Roman" w:eastAsia="Calibri" w:hAnsi="Times New Roman" w:cs="Times New Roman"/>
          <w:b/>
          <w:sz w:val="24"/>
          <w:szCs w:val="24"/>
        </w:rPr>
      </w:pPr>
      <w:r w:rsidRPr="00E47339">
        <w:rPr>
          <w:rFonts w:ascii="Times New Roman" w:eastAsia="Calibri" w:hAnsi="Times New Roman" w:cs="Times New Roman"/>
          <w:b/>
          <w:sz w:val="24"/>
          <w:szCs w:val="24"/>
        </w:rPr>
        <w:lastRenderedPageBreak/>
        <w:t>KAYNAKLAR</w:t>
      </w:r>
    </w:p>
    <w:p w:rsidR="00E47339" w:rsidRPr="00E47339" w:rsidRDefault="00E47339" w:rsidP="00E47339">
      <w:pPr>
        <w:spacing w:after="0" w:line="240" w:lineRule="auto"/>
        <w:jc w:val="both"/>
        <w:rPr>
          <w:rFonts w:ascii="Times New Roman" w:eastAsia="Calibri" w:hAnsi="Times New Roman" w:cs="Times New Roman"/>
          <w:b/>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Abdul-Karim, E. T. (2009). Blood Type Diet: Scientific evaluation. </w:t>
      </w:r>
      <w:r w:rsidRPr="00E47339">
        <w:rPr>
          <w:rFonts w:ascii="Times New Roman" w:eastAsia="Calibri" w:hAnsi="Times New Roman" w:cs="Times New Roman"/>
          <w:i/>
          <w:iCs/>
          <w:sz w:val="24"/>
          <w:szCs w:val="24"/>
        </w:rPr>
        <w:t>IRAQI JOURNAL OF MEDICAL SCIENCES</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7</w:t>
      </w:r>
      <w:r w:rsidRPr="00E47339">
        <w:rPr>
          <w:rFonts w:ascii="Times New Roman" w:eastAsia="Calibri" w:hAnsi="Times New Roman" w:cs="Times New Roman"/>
          <w:sz w:val="24"/>
          <w:szCs w:val="24"/>
        </w:rPr>
        <w:t>(3).</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Bayrakdar, A. Kan Gruplarına Göre Beslenme. </w:t>
      </w:r>
      <w:r w:rsidRPr="00E47339">
        <w:rPr>
          <w:rFonts w:ascii="Times New Roman" w:eastAsia="Calibri" w:hAnsi="Times New Roman" w:cs="Times New Roman"/>
          <w:i/>
          <w:iCs/>
          <w:sz w:val="24"/>
          <w:szCs w:val="24"/>
        </w:rPr>
        <w:t>Onur Kurulu</w:t>
      </w:r>
      <w:r w:rsidRPr="00E47339">
        <w:rPr>
          <w:rFonts w:ascii="Times New Roman" w:eastAsia="Calibri" w:hAnsi="Times New Roman" w:cs="Times New Roman"/>
          <w:sz w:val="24"/>
          <w:szCs w:val="24"/>
        </w:rPr>
        <w:t>, 1059.</w:t>
      </w:r>
    </w:p>
    <w:p w:rsidR="00E47339" w:rsidRPr="00E47339" w:rsidRDefault="00E47339" w:rsidP="00E47339">
      <w:pPr>
        <w:spacing w:after="0" w:line="240" w:lineRule="auto"/>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Behera, S., Sahoo, A., &amp; Satyanarayana, P. (2016). Relationship of blood group with body fat percentage, visceral fat, and waist-hip ratio. </w:t>
      </w:r>
      <w:r w:rsidRPr="00E47339">
        <w:rPr>
          <w:rFonts w:ascii="Times New Roman" w:eastAsia="Calibri" w:hAnsi="Times New Roman" w:cs="Times New Roman"/>
          <w:i/>
          <w:iCs/>
          <w:sz w:val="24"/>
          <w:szCs w:val="24"/>
        </w:rPr>
        <w:t>National Journal of Physiology, Pharmacy and Pharmacology</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6</w:t>
      </w:r>
      <w:r w:rsidRPr="00E47339">
        <w:rPr>
          <w:rFonts w:ascii="Times New Roman" w:eastAsia="Calibri" w:hAnsi="Times New Roman" w:cs="Times New Roman"/>
          <w:sz w:val="24"/>
          <w:szCs w:val="24"/>
        </w:rPr>
        <w:t>(6), 591.</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Çeker, A. (2019). </w:t>
      </w:r>
      <w:r w:rsidRPr="00E47339">
        <w:rPr>
          <w:rFonts w:ascii="Times New Roman" w:eastAsia="Calibri" w:hAnsi="Times New Roman" w:cs="Times New Roman"/>
          <w:i/>
          <w:iCs/>
          <w:sz w:val="24"/>
          <w:szCs w:val="24"/>
        </w:rPr>
        <w:t>Obezitenin sebeplerinin bilinmesi ve egzersize yönelik davranış değiştirme aşamaları arasındaki ilişki</w:t>
      </w:r>
      <w:r w:rsidRPr="00E47339">
        <w:rPr>
          <w:rFonts w:ascii="Times New Roman" w:eastAsia="Calibri" w:hAnsi="Times New Roman" w:cs="Times New Roman"/>
          <w:sz w:val="24"/>
          <w:szCs w:val="24"/>
        </w:rPr>
        <w:t> (Master's thesis, Amasya Üniversitesi).</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D'Adamo, P. J., &amp; O'Connor, K. (2013). </w:t>
      </w:r>
      <w:r w:rsidRPr="00E47339">
        <w:rPr>
          <w:rFonts w:ascii="Times New Roman" w:eastAsia="Calibri" w:hAnsi="Times New Roman" w:cs="Times New Roman"/>
          <w:i/>
          <w:iCs/>
          <w:sz w:val="24"/>
          <w:szCs w:val="24"/>
        </w:rPr>
        <w:t>Eat Right 4 Your Type Personalized Cookbook Type O: 150+ Healthy Recipes For Your Blood Type Diet</w:t>
      </w:r>
      <w:r w:rsidRPr="00E47339">
        <w:rPr>
          <w:rFonts w:ascii="Times New Roman" w:eastAsia="Calibri" w:hAnsi="Times New Roman" w:cs="Times New Roman"/>
          <w:sz w:val="24"/>
          <w:szCs w:val="24"/>
        </w:rPr>
        <w:t>. Penguin.</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D'Adamo, P. J., &amp; Whitney, C. (2005). </w:t>
      </w:r>
      <w:r w:rsidRPr="00E47339">
        <w:rPr>
          <w:rFonts w:ascii="Times New Roman" w:eastAsia="Calibri" w:hAnsi="Times New Roman" w:cs="Times New Roman"/>
          <w:i/>
          <w:iCs/>
          <w:sz w:val="24"/>
          <w:szCs w:val="24"/>
        </w:rPr>
        <w:t>Cardiovascular disease: fight it with the blood type diet</w:t>
      </w:r>
      <w:r w:rsidRPr="00E47339">
        <w:rPr>
          <w:rFonts w:ascii="Times New Roman" w:eastAsia="Calibri" w:hAnsi="Times New Roman" w:cs="Times New Roman"/>
          <w:sz w:val="24"/>
          <w:szCs w:val="24"/>
        </w:rPr>
        <w:t>. Penguin.</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Galip, A. K. I. N., &amp; Dostbil, N. (2005). Türkiye'de kan grubu araştırmaları. </w:t>
      </w:r>
      <w:r w:rsidRPr="00E47339">
        <w:rPr>
          <w:rFonts w:ascii="Times New Roman" w:eastAsia="Calibri" w:hAnsi="Times New Roman" w:cs="Times New Roman"/>
          <w:i/>
          <w:iCs/>
          <w:sz w:val="24"/>
          <w:szCs w:val="24"/>
        </w:rPr>
        <w:t>Ankara Üniversitesi Dil ve Tarih-Coğrafya Fakültesi Dergisi</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45</w:t>
      </w:r>
      <w:r w:rsidRPr="00E47339">
        <w:rPr>
          <w:rFonts w:ascii="Times New Roman" w:eastAsia="Calibri" w:hAnsi="Times New Roman" w:cs="Times New Roman"/>
          <w:sz w:val="24"/>
          <w:szCs w:val="24"/>
        </w:rPr>
        <w:t>(2), 1-15.</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6746E0" w:rsidP="00E47339">
      <w:pPr>
        <w:spacing w:after="0" w:line="240" w:lineRule="auto"/>
        <w:ind w:left="567" w:hanging="567"/>
        <w:jc w:val="both"/>
        <w:rPr>
          <w:rFonts w:ascii="Times New Roman" w:eastAsia="Calibri" w:hAnsi="Times New Roman" w:cs="Times New Roman"/>
          <w:sz w:val="24"/>
          <w:szCs w:val="24"/>
          <w:u w:val="single"/>
        </w:rPr>
      </w:pPr>
      <w:hyperlink r:id="rId9" w:history="1">
        <w:r w:rsidR="00E47339" w:rsidRPr="00E47339">
          <w:rPr>
            <w:rFonts w:ascii="Times New Roman" w:eastAsia="Calibri" w:hAnsi="Times New Roman" w:cs="Times New Roman"/>
            <w:sz w:val="24"/>
            <w:szCs w:val="24"/>
            <w:u w:val="single"/>
          </w:rPr>
          <w:t>https://ankara.baskenthastaneleri.com/tr/tani-tedavi-birimlerimiz/kan-merkezi/kan-gruplari</w:t>
        </w:r>
      </w:hyperlink>
    </w:p>
    <w:p w:rsidR="00E47339" w:rsidRPr="00E47339" w:rsidRDefault="00E47339" w:rsidP="00E47339">
      <w:pPr>
        <w:spacing w:after="0" w:line="240" w:lineRule="auto"/>
        <w:ind w:left="567" w:hanging="567"/>
        <w:jc w:val="both"/>
        <w:rPr>
          <w:rFonts w:ascii="Times New Roman" w:eastAsia="Calibri" w:hAnsi="Times New Roman" w:cs="Times New Roman"/>
          <w:sz w:val="24"/>
          <w:szCs w:val="24"/>
          <w:u w:val="single"/>
        </w:rPr>
      </w:pPr>
    </w:p>
    <w:p w:rsidR="00E47339" w:rsidRPr="00E47339" w:rsidRDefault="006746E0" w:rsidP="00E47339">
      <w:pPr>
        <w:spacing w:after="0" w:line="240" w:lineRule="auto"/>
        <w:ind w:left="567" w:hanging="567"/>
        <w:jc w:val="both"/>
        <w:rPr>
          <w:rFonts w:ascii="Times New Roman" w:eastAsia="Calibri" w:hAnsi="Times New Roman" w:cs="Times New Roman"/>
          <w:sz w:val="24"/>
          <w:szCs w:val="24"/>
        </w:rPr>
      </w:pPr>
      <w:hyperlink r:id="rId10" w:history="1">
        <w:r w:rsidR="00E47339" w:rsidRPr="00E47339">
          <w:rPr>
            <w:rFonts w:ascii="Times New Roman" w:eastAsia="Calibri" w:hAnsi="Times New Roman" w:cs="Times New Roman"/>
            <w:sz w:val="24"/>
            <w:szCs w:val="24"/>
            <w:u w:val="single"/>
          </w:rPr>
          <w:t>https://evdesaglik.memorial.com.tr/saglik-blogu/genel/kan-grubuna-gore-beslenme-listesi/</w:t>
        </w:r>
      </w:hyperlink>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u w:val="single"/>
        </w:rPr>
      </w:pPr>
      <w:r w:rsidRPr="00E47339">
        <w:rPr>
          <w:rFonts w:ascii="Times New Roman" w:eastAsia="Calibri" w:hAnsi="Times New Roman" w:cs="Times New Roman"/>
          <w:sz w:val="24"/>
          <w:szCs w:val="24"/>
          <w:u w:val="single"/>
        </w:rPr>
        <w:t>https://www.ozelbeslenme.com/blogs/blog/kan-grubuna-gore-beslenme</w:t>
      </w:r>
    </w:p>
    <w:p w:rsidR="00E47339" w:rsidRPr="00E47339" w:rsidRDefault="00E47339" w:rsidP="00E47339">
      <w:pPr>
        <w:spacing w:after="0" w:line="240" w:lineRule="auto"/>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Kalan, I., &amp; Yeşil, Y. (2010). Obezite ile ilişkili kronik hastalıklar. </w:t>
      </w:r>
      <w:r w:rsidRPr="00E47339">
        <w:rPr>
          <w:rFonts w:ascii="Times New Roman" w:eastAsia="Calibri" w:hAnsi="Times New Roman" w:cs="Times New Roman"/>
          <w:i/>
          <w:iCs/>
          <w:sz w:val="24"/>
          <w:szCs w:val="24"/>
        </w:rPr>
        <w:t>Diyabet ve obezite</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78</w:t>
      </w:r>
      <w:r w:rsidRPr="00E47339">
        <w:rPr>
          <w:rFonts w:ascii="Times New Roman" w:eastAsia="Calibri" w:hAnsi="Times New Roman" w:cs="Times New Roman"/>
          <w:sz w:val="24"/>
          <w:szCs w:val="24"/>
        </w:rPr>
        <w:t>.</w:t>
      </w:r>
    </w:p>
    <w:p w:rsidR="00E47339" w:rsidRPr="00E47339" w:rsidRDefault="00E47339" w:rsidP="00E47339">
      <w:pPr>
        <w:spacing w:after="0" w:line="240" w:lineRule="auto"/>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Kaya, H., &amp; Özçelik, O. (2009). Vücut bileşimlerinin değerlendirilmesinde vücut kitle indeksi ve biyoelektrik empedans analiz metotlarının etkinliğinin yaş ve cinsiyete göre karşılaştırılması. </w:t>
      </w:r>
      <w:r w:rsidRPr="00E47339">
        <w:rPr>
          <w:rFonts w:ascii="Times New Roman" w:eastAsia="Calibri" w:hAnsi="Times New Roman" w:cs="Times New Roman"/>
          <w:i/>
          <w:iCs/>
          <w:sz w:val="24"/>
          <w:szCs w:val="24"/>
        </w:rPr>
        <w:t>Fırat Üniversitesi Sağlık Bilimleri Tıp Dergisi</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23</w:t>
      </w:r>
      <w:r w:rsidRPr="00E47339">
        <w:rPr>
          <w:rFonts w:ascii="Times New Roman" w:eastAsia="Calibri" w:hAnsi="Times New Roman" w:cs="Times New Roman"/>
          <w:sz w:val="24"/>
          <w:szCs w:val="24"/>
        </w:rPr>
        <w:t>(1), 1-5.</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Koliaki, C., Dalamaga, M., &amp; Liatis, S. (2023). Update on the obesity epidemic: after the sudden rise, is the upward trajectory beginning to flatten?. </w:t>
      </w:r>
      <w:r w:rsidRPr="00E47339">
        <w:rPr>
          <w:rFonts w:ascii="Times New Roman" w:eastAsia="Calibri" w:hAnsi="Times New Roman" w:cs="Times New Roman"/>
          <w:i/>
          <w:iCs/>
          <w:sz w:val="24"/>
          <w:szCs w:val="24"/>
        </w:rPr>
        <w:t>Current Obesity Reports</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12</w:t>
      </w:r>
      <w:r w:rsidRPr="00E47339">
        <w:rPr>
          <w:rFonts w:ascii="Times New Roman" w:eastAsia="Calibri" w:hAnsi="Times New Roman" w:cs="Times New Roman"/>
          <w:sz w:val="24"/>
          <w:szCs w:val="24"/>
        </w:rPr>
        <w:t>(4), 514-527.</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Madi, A. M., Amhimmed, W. K., &amp; Faraj, E. A. (2023). Dietary Patterns According To The Different Genetic Blood Groups. </w:t>
      </w:r>
      <w:r w:rsidRPr="00E47339">
        <w:rPr>
          <w:rFonts w:ascii="Times New Roman" w:eastAsia="Calibri" w:hAnsi="Times New Roman" w:cs="Times New Roman"/>
          <w:i/>
          <w:iCs/>
          <w:sz w:val="24"/>
          <w:szCs w:val="24"/>
        </w:rPr>
        <w:t>Int. J. Sci. Res. in Biological Sciences Vol</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10</w:t>
      </w:r>
      <w:r w:rsidRPr="00E47339">
        <w:rPr>
          <w:rFonts w:ascii="Times New Roman" w:eastAsia="Calibri" w:hAnsi="Times New Roman" w:cs="Times New Roman"/>
          <w:sz w:val="24"/>
          <w:szCs w:val="24"/>
        </w:rPr>
        <w:t>(4).</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Mendeş, B., Mendeş, M., &amp; Mendeş, E. (2018). Üniversite öğrencilerinde kan grupları ile abdominal obezite ilişkisinin incelenmesi. </w:t>
      </w:r>
      <w:r w:rsidRPr="00E47339">
        <w:rPr>
          <w:rFonts w:ascii="Times New Roman" w:eastAsia="Calibri" w:hAnsi="Times New Roman" w:cs="Times New Roman"/>
          <w:i/>
          <w:iCs/>
          <w:sz w:val="24"/>
          <w:szCs w:val="24"/>
        </w:rPr>
        <w:t>SPORMETRE Beden Eğitimi ve Spor Bilimleri Dergisi</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16</w:t>
      </w:r>
      <w:r w:rsidRPr="00E47339">
        <w:rPr>
          <w:rFonts w:ascii="Times New Roman" w:eastAsia="Calibri" w:hAnsi="Times New Roman" w:cs="Times New Roman"/>
          <w:sz w:val="24"/>
          <w:szCs w:val="24"/>
        </w:rPr>
        <w:t>(2), 72-79.</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r w:rsidRPr="00E47339">
        <w:rPr>
          <w:rFonts w:ascii="Times New Roman" w:eastAsia="Calibri" w:hAnsi="Times New Roman" w:cs="Times New Roman"/>
          <w:sz w:val="24"/>
          <w:szCs w:val="24"/>
        </w:rPr>
        <w:t>Nalbant, A., &amp; Konuk, S. (2018). Obezite ile D vitamini, C-reaktif protein, hemogram parametreleri ve kan grupları arasındaki ilişki. </w:t>
      </w:r>
      <w:r w:rsidRPr="00E47339">
        <w:rPr>
          <w:rFonts w:ascii="Times New Roman" w:eastAsia="Calibri" w:hAnsi="Times New Roman" w:cs="Times New Roman"/>
          <w:i/>
          <w:iCs/>
          <w:sz w:val="24"/>
          <w:szCs w:val="24"/>
        </w:rPr>
        <w:t>Ortadoğu Tıp Dergisi</w:t>
      </w:r>
      <w:r w:rsidRPr="00E47339">
        <w:rPr>
          <w:rFonts w:ascii="Times New Roman" w:eastAsia="Calibri" w:hAnsi="Times New Roman" w:cs="Times New Roman"/>
          <w:sz w:val="24"/>
          <w:szCs w:val="24"/>
        </w:rPr>
        <w:t>, </w:t>
      </w:r>
      <w:r w:rsidRPr="00E47339">
        <w:rPr>
          <w:rFonts w:ascii="Times New Roman" w:eastAsia="Calibri" w:hAnsi="Times New Roman" w:cs="Times New Roman"/>
          <w:i/>
          <w:iCs/>
          <w:sz w:val="24"/>
          <w:szCs w:val="24"/>
        </w:rPr>
        <w:t>10</w:t>
      </w:r>
      <w:r w:rsidRPr="00E47339">
        <w:rPr>
          <w:rFonts w:ascii="Times New Roman" w:eastAsia="Calibri" w:hAnsi="Times New Roman" w:cs="Times New Roman"/>
          <w:sz w:val="24"/>
          <w:szCs w:val="24"/>
        </w:rPr>
        <w:t>(1), 20-25.</w:t>
      </w: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E47339" w:rsidRPr="00E47339" w:rsidRDefault="00E47339" w:rsidP="00E47339">
      <w:pPr>
        <w:spacing w:after="0" w:line="240" w:lineRule="auto"/>
        <w:ind w:left="567" w:hanging="567"/>
        <w:jc w:val="both"/>
        <w:rPr>
          <w:rFonts w:ascii="Times New Roman" w:eastAsia="Calibri" w:hAnsi="Times New Roman" w:cs="Times New Roman"/>
          <w:sz w:val="24"/>
          <w:szCs w:val="24"/>
        </w:rPr>
      </w:pPr>
    </w:p>
    <w:p w:rsidR="00B62707" w:rsidRDefault="00B62707" w:rsidP="00BE58F1">
      <w:pPr>
        <w:spacing w:after="120"/>
        <w:jc w:val="both"/>
        <w:rPr>
          <w:rFonts w:ascii="Times New Roman" w:hAnsi="Times New Roman" w:cs="Times New Roman"/>
          <w:sz w:val="24"/>
          <w:szCs w:val="24"/>
        </w:rPr>
      </w:pPr>
    </w:p>
    <w:p w:rsidR="00BE58F1"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684"/>
            <wp:effectExtent l="0" t="0" r="0" b="3810"/>
            <wp:docPr id="2" name="Resim 2" descr="C:\Users\bt\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684"/>
                    </a:xfrm>
                    <a:prstGeom prst="rect">
                      <a:avLst/>
                    </a:prstGeom>
                    <a:noFill/>
                    <a:ln>
                      <a:noFill/>
                    </a:ln>
                  </pic:spPr>
                </pic:pic>
              </a:graphicData>
            </a:graphic>
          </wp:inline>
        </w:drawing>
      </w:r>
    </w:p>
    <w:p w:rsidR="00B62707"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253" cy="4252823"/>
            <wp:effectExtent l="0" t="0" r="0" b="0"/>
            <wp:docPr id="3" name="Resim 3" descr="C:\Users\b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51691"/>
                    </a:xfrm>
                    <a:prstGeom prst="rect">
                      <a:avLst/>
                    </a:prstGeom>
                    <a:noFill/>
                    <a:ln>
                      <a:noFill/>
                    </a:ln>
                  </pic:spPr>
                </pic:pic>
              </a:graphicData>
            </a:graphic>
          </wp:inline>
        </w:drawing>
      </w:r>
    </w:p>
    <w:p w:rsidR="00B62707"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253" cy="4235570"/>
            <wp:effectExtent l="0" t="0" r="0" b="0"/>
            <wp:docPr id="4" name="Resim 4" descr="C:\Users\bt\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t\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234443"/>
                    </a:xfrm>
                    <a:prstGeom prst="rect">
                      <a:avLst/>
                    </a:prstGeom>
                    <a:noFill/>
                    <a:ln>
                      <a:noFill/>
                    </a:ln>
                  </pic:spPr>
                </pic:pic>
              </a:graphicData>
            </a:graphic>
          </wp:inline>
        </w:drawing>
      </w:r>
    </w:p>
    <w:p w:rsidR="00B62707"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253" cy="4183811"/>
            <wp:effectExtent l="0" t="0" r="0" b="7620"/>
            <wp:docPr id="6" name="Resim 6" descr="C:\Users\bt\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t\Desktop\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82698"/>
                    </a:xfrm>
                    <a:prstGeom prst="rect">
                      <a:avLst/>
                    </a:prstGeom>
                    <a:noFill/>
                    <a:ln>
                      <a:noFill/>
                    </a:ln>
                  </pic:spPr>
                </pic:pic>
              </a:graphicData>
            </a:graphic>
          </wp:inline>
        </w:drawing>
      </w:r>
    </w:p>
    <w:p w:rsidR="00B62707"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19640"/>
            <wp:effectExtent l="0" t="0" r="0" b="5080"/>
            <wp:docPr id="7" name="Resim 7" descr="C:\Users\bt\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t\Desktop\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19640"/>
                    </a:xfrm>
                    <a:prstGeom prst="rect">
                      <a:avLst/>
                    </a:prstGeom>
                    <a:noFill/>
                    <a:ln>
                      <a:noFill/>
                    </a:ln>
                  </pic:spPr>
                </pic:pic>
              </a:graphicData>
            </a:graphic>
          </wp:inline>
        </w:drawing>
      </w:r>
    </w:p>
    <w:p w:rsidR="00B62707"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704"/>
            <wp:effectExtent l="0" t="0" r="0" b="0"/>
            <wp:docPr id="8" name="Resim 8" descr="C:\Users\bt\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t\Desktop\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680704"/>
                    </a:xfrm>
                    <a:prstGeom prst="rect">
                      <a:avLst/>
                    </a:prstGeom>
                    <a:noFill/>
                    <a:ln>
                      <a:noFill/>
                    </a:ln>
                  </pic:spPr>
                </pic:pic>
              </a:graphicData>
            </a:graphic>
          </wp:inline>
        </w:drawing>
      </w:r>
    </w:p>
    <w:p w:rsidR="00B62707" w:rsidRDefault="00B62707" w:rsidP="00BE58F1">
      <w:pPr>
        <w:spacing w:after="120"/>
        <w:jc w:val="both"/>
        <w:rPr>
          <w:rFonts w:ascii="Times New Roman" w:hAnsi="Times New Roman" w:cs="Times New Roman"/>
          <w:sz w:val="24"/>
          <w:szCs w:val="24"/>
        </w:rPr>
      </w:pPr>
    </w:p>
    <w:p w:rsidR="00B62707" w:rsidRPr="000411ED" w:rsidRDefault="00B62707" w:rsidP="00BE58F1">
      <w:pPr>
        <w:spacing w:after="1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76792" cy="9126747"/>
            <wp:effectExtent l="0" t="0" r="635" b="0"/>
            <wp:docPr id="9" name="Resim 9" descr="C:\Users\b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t\Desktop\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7975" cy="9128793"/>
                    </a:xfrm>
                    <a:prstGeom prst="rect">
                      <a:avLst/>
                    </a:prstGeom>
                    <a:noFill/>
                    <a:ln>
                      <a:noFill/>
                    </a:ln>
                  </pic:spPr>
                </pic:pic>
              </a:graphicData>
            </a:graphic>
          </wp:inline>
        </w:drawing>
      </w:r>
    </w:p>
    <w:sectPr w:rsidR="00B62707" w:rsidRPr="000411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1ED"/>
    <w:rsid w:val="000411ED"/>
    <w:rsid w:val="006746E0"/>
    <w:rsid w:val="00681B1E"/>
    <w:rsid w:val="00A70FE2"/>
    <w:rsid w:val="00B62707"/>
    <w:rsid w:val="00BE58F1"/>
    <w:rsid w:val="00D02F98"/>
    <w:rsid w:val="00D414BA"/>
    <w:rsid w:val="00E47339"/>
    <w:rsid w:val="00F361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27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2707"/>
    <w:rPr>
      <w:rFonts w:ascii="Tahoma" w:hAnsi="Tahoma" w:cs="Tahoma"/>
      <w:sz w:val="16"/>
      <w:szCs w:val="16"/>
    </w:rPr>
  </w:style>
  <w:style w:type="table" w:styleId="TabloKlavuzu">
    <w:name w:val="Table Grid"/>
    <w:basedOn w:val="NormalTablo"/>
    <w:uiPriority w:val="39"/>
    <w:rsid w:val="00E47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27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2707"/>
    <w:rPr>
      <w:rFonts w:ascii="Tahoma" w:hAnsi="Tahoma" w:cs="Tahoma"/>
      <w:sz w:val="16"/>
      <w:szCs w:val="16"/>
    </w:rPr>
  </w:style>
  <w:style w:type="table" w:styleId="TabloKlavuzu">
    <w:name w:val="Table Grid"/>
    <w:basedOn w:val="NormalTablo"/>
    <w:uiPriority w:val="39"/>
    <w:rsid w:val="00E47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2.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image" Target="media/image1.jpeg"/><Relationship Id="rId5" Type="http://schemas.openxmlformats.org/officeDocument/2006/relationships/chart" Target="charts/chart1.xml"/><Relationship Id="rId15" Type="http://schemas.openxmlformats.org/officeDocument/2006/relationships/image" Target="media/image5.jpeg"/><Relationship Id="rId10" Type="http://schemas.openxmlformats.org/officeDocument/2006/relationships/hyperlink" Target="https://evdesaglik.memorial.com.tr/saglik-blogu/genel/kan-grubuna-gore-beslenme-listesi/" TargetMode="External"/><Relationship Id="rId4" Type="http://schemas.openxmlformats.org/officeDocument/2006/relationships/webSettings" Target="webSettings.xml"/><Relationship Id="rId9" Type="http://schemas.openxmlformats.org/officeDocument/2006/relationships/hyperlink" Target="https://ankara.baskenthastaneleri.com/tr/tani-tedavi-birimlerimiz/kan-merkezi/kan-gruplari"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Kan Grubuna Göre Dağılım</a:t>
            </a:r>
            <a:r>
              <a:rPr lang="tr-TR" sz="1100" b="1" i="0" baseline="0">
                <a:solidFill>
                  <a:sysClr val="windowText" lastClr="000000"/>
                </a:solidFill>
                <a:effectLst/>
                <a:latin typeface="Times New Roman" panose="02020603050405020304" pitchFamily="18" charset="0"/>
                <a:cs typeface="Times New Roman" panose="02020603050405020304" pitchFamily="18" charset="0"/>
              </a:rPr>
              <a:t> Grafiği</a:t>
            </a:r>
            <a:endParaRPr lang="tr-TR"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'kan grubu dağılımı'!$B$4:$B$11</c:f>
              <c:strCache>
                <c:ptCount val="8"/>
                <c:pt idx="0">
                  <c:v>0 Rh (+)</c:v>
                </c:pt>
                <c:pt idx="1">
                  <c:v>0 Rh (-)</c:v>
                </c:pt>
                <c:pt idx="2">
                  <c:v>A Rh(+)</c:v>
                </c:pt>
                <c:pt idx="3">
                  <c:v>A Rh(-)</c:v>
                </c:pt>
                <c:pt idx="4">
                  <c:v>B Rh (+)</c:v>
                </c:pt>
                <c:pt idx="5">
                  <c:v>B Rh(-)</c:v>
                </c:pt>
                <c:pt idx="6">
                  <c:v>AB Rh (+)</c:v>
                </c:pt>
                <c:pt idx="7">
                  <c:v>AB Rh (-)</c:v>
                </c:pt>
              </c:strCache>
            </c:strRef>
          </c:cat>
          <c:val>
            <c:numRef>
              <c:f>'kan grubu dağılımı'!$G$4:$G$11</c:f>
              <c:numCache>
                <c:formatCode>0.00</c:formatCode>
                <c:ptCount val="8"/>
                <c:pt idx="0">
                  <c:v>24.291497975708502</c:v>
                </c:pt>
                <c:pt idx="1">
                  <c:v>4.6558704453441297</c:v>
                </c:pt>
                <c:pt idx="2">
                  <c:v>28.340080971659919</c:v>
                </c:pt>
                <c:pt idx="3">
                  <c:v>6.0728744939271255</c:v>
                </c:pt>
                <c:pt idx="4">
                  <c:v>18.825910931174089</c:v>
                </c:pt>
                <c:pt idx="5">
                  <c:v>2.834008097165992</c:v>
                </c:pt>
                <c:pt idx="6">
                  <c:v>12.550607287449393</c:v>
                </c:pt>
                <c:pt idx="7">
                  <c:v>2.42914979757085</c:v>
                </c:pt>
              </c:numCache>
            </c:numRef>
          </c:val>
          <c:extLst xmlns:c16r2="http://schemas.microsoft.com/office/drawing/2015/06/chart">
            <c:ext xmlns:c16="http://schemas.microsoft.com/office/drawing/2014/chart" uri="{C3380CC4-5D6E-409C-BE32-E72D297353CC}">
              <c16:uniqueId val="{00000000-8B83-4CD8-9594-7CA27445691E}"/>
            </c:ext>
          </c:extLst>
        </c:ser>
        <c:dLbls>
          <c:dLblPos val="inEnd"/>
          <c:showLegendKey val="0"/>
          <c:showVal val="1"/>
          <c:showCatName val="0"/>
          <c:showSerName val="0"/>
          <c:showPercent val="0"/>
          <c:showBubbleSize val="0"/>
        </c:dLbls>
        <c:gapWidth val="65"/>
        <c:axId val="78943232"/>
        <c:axId val="108748096"/>
      </c:barChart>
      <c:catAx>
        <c:axId val="78943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08748096"/>
        <c:crosses val="autoZero"/>
        <c:auto val="1"/>
        <c:lblAlgn val="ctr"/>
        <c:lblOffset val="100"/>
        <c:noMultiLvlLbl val="0"/>
      </c:catAx>
      <c:valAx>
        <c:axId val="108748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 sourceLinked="0"/>
        <c:majorTickMark val="none"/>
        <c:minorTickMark val="none"/>
        <c:tickLblPos val="nextTo"/>
        <c:crossAx val="78943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sz="1200">
                <a:solidFill>
                  <a:sysClr val="windowText" lastClr="000000"/>
                </a:solidFill>
                <a:latin typeface="Times New Roman" panose="02020603050405020304" pitchFamily="18" charset="0"/>
                <a:cs typeface="Times New Roman" panose="02020603050405020304" pitchFamily="18" charset="0"/>
              </a:rPr>
              <a:t>Kan</a:t>
            </a:r>
            <a:r>
              <a:rPr lang="tr-TR" sz="1200" baseline="0">
                <a:solidFill>
                  <a:sysClr val="windowText" lastClr="000000"/>
                </a:solidFill>
                <a:latin typeface="Times New Roman" panose="02020603050405020304" pitchFamily="18" charset="0"/>
                <a:cs typeface="Times New Roman" panose="02020603050405020304" pitchFamily="18" charset="0"/>
              </a:rPr>
              <a:t> grubu Dağılım Yüzdesi</a:t>
            </a:r>
            <a:endParaRPr lang="tr-TR"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9BE-4D41-8386-FAA13DB1738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9BE-4D41-8386-FAA13DB1738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B9BE-4D41-8386-FAA13DB1738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B9BE-4D41-8386-FAA13DB1738A}"/>
              </c:ext>
            </c:extLst>
          </c:dPt>
          <c:dLbls>
            <c:dLbl>
              <c:idx val="0"/>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r>
                      <a:rPr lang="en-US"/>
                      <a:t>0</a:t>
                    </a:r>
                  </a:p>
                  <a:p>
                    <a:pPr>
                      <a:defRPr sz="900" b="1" i="0" u="none" strike="noStrike" kern="1200" baseline="0">
                        <a:solidFill>
                          <a:schemeClr val="tx1"/>
                        </a:solidFill>
                        <a:latin typeface="+mn-lt"/>
                        <a:ea typeface="+mn-ea"/>
                        <a:cs typeface="+mn-cs"/>
                      </a:defRPr>
                    </a:pPr>
                    <a:fld id="{9D89A0D7-0BEF-4DB5-BD03-9B4A3B627450}" type="VALUE">
                      <a:rPr lang="en-US"/>
                      <a:pPr>
                        <a:defRPr sz="900" b="1" i="0" u="none" strike="noStrike" kern="1200" baseline="0">
                          <a:solidFill>
                            <a:schemeClr val="tx1"/>
                          </a:solidFill>
                          <a:latin typeface="+mn-lt"/>
                          <a:ea typeface="+mn-ea"/>
                          <a:cs typeface="+mn-cs"/>
                        </a:defRPr>
                      </a:pPr>
                      <a:t>[DEĞER]</a:t>
                    </a:fld>
                    <a:r>
                      <a:rPr lang="en-US"/>
                      <a:t>%</a:t>
                    </a:r>
                  </a:p>
                </c:rich>
              </c:tx>
              <c:spPr>
                <a:noFill/>
                <a:ln w="9525">
                  <a:noFill/>
                </a:ln>
                <a:effectLst/>
              </c:sp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B9BE-4D41-8386-FAA13DB1738A}"/>
                </c:ext>
              </c:extLst>
            </c:dLbl>
            <c:dLbl>
              <c:idx val="1"/>
              <c:layout>
                <c:manualLayout>
                  <c:x val="-9.3049028397944142E-2"/>
                  <c:y val="-0.2552496332115045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r>
                      <a:rPr lang="en-US"/>
                      <a:t>A</a:t>
                    </a:r>
                  </a:p>
                  <a:p>
                    <a:pPr>
                      <a:defRPr sz="900" b="1" i="0" u="none" strike="noStrike" kern="1200" baseline="0">
                        <a:solidFill>
                          <a:schemeClr val="tx1"/>
                        </a:solidFill>
                        <a:latin typeface="+mn-lt"/>
                        <a:ea typeface="+mn-ea"/>
                        <a:cs typeface="+mn-cs"/>
                      </a:defRPr>
                    </a:pPr>
                    <a:r>
                      <a:rPr lang="en-US"/>
                      <a:t>34,41%</a:t>
                    </a:r>
                  </a:p>
                </c:rich>
              </c:tx>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7057870021038801"/>
                      <c:h val="0.1703439564541753"/>
                    </c:manualLayout>
                  </c15:layout>
                </c:ext>
                <c:ext xmlns:c16="http://schemas.microsoft.com/office/drawing/2014/chart" uri="{C3380CC4-5D6E-409C-BE32-E72D297353CC}">
                  <c16:uniqueId val="{00000003-B9BE-4D41-8386-FAA13DB1738A}"/>
                </c:ext>
              </c:extLst>
            </c:dLbl>
            <c:dLbl>
              <c:idx val="2"/>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r>
                      <a:rPr lang="en-US"/>
                      <a:t>B</a:t>
                    </a:r>
                  </a:p>
                  <a:p>
                    <a:pPr>
                      <a:defRPr sz="900" b="1" i="0" u="none" strike="noStrike" kern="1200" baseline="0">
                        <a:solidFill>
                          <a:schemeClr val="tx1"/>
                        </a:solidFill>
                        <a:latin typeface="+mn-lt"/>
                        <a:ea typeface="+mn-ea"/>
                        <a:cs typeface="+mn-cs"/>
                      </a:defRPr>
                    </a:pPr>
                    <a:r>
                      <a:rPr lang="en-US"/>
                      <a:t>21,66%</a:t>
                    </a:r>
                  </a:p>
                </c:rich>
              </c:tx>
              <c:spPr>
                <a:noFill/>
                <a:ln w="9525">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B9BE-4D41-8386-FAA13DB1738A}"/>
                </c:ext>
              </c:extLst>
            </c:dLbl>
            <c:dLbl>
              <c:idx val="3"/>
              <c:tx>
                <c:rich>
                  <a:bodyPr rot="0" spcFirstLastPara="1" vertOverflow="ellipsis" horzOverflow="clip"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r>
                      <a:rPr lang="en-US"/>
                      <a:t>AB</a:t>
                    </a:r>
                  </a:p>
                  <a:p>
                    <a:pPr>
                      <a:defRPr sz="900" b="1" i="0" u="none" strike="noStrike" kern="1200" baseline="0">
                        <a:solidFill>
                          <a:schemeClr val="tx1"/>
                        </a:solidFill>
                        <a:latin typeface="+mn-lt"/>
                        <a:ea typeface="+mn-ea"/>
                        <a:cs typeface="+mn-cs"/>
                      </a:defRPr>
                    </a:pPr>
                    <a:fld id="{4E1D821E-99B9-4BE9-83DB-4AFC4AFEEE67}" type="VALUE">
                      <a:rPr lang="en-US"/>
                      <a:pPr>
                        <a:defRPr sz="900" b="1" i="0" u="none" strike="noStrike" kern="1200" baseline="0">
                          <a:solidFill>
                            <a:schemeClr val="tx1"/>
                          </a:solidFill>
                          <a:latin typeface="+mn-lt"/>
                          <a:ea typeface="+mn-ea"/>
                          <a:cs typeface="+mn-cs"/>
                        </a:defRPr>
                      </a:pPr>
                      <a:t>[DEĞER]</a:t>
                    </a:fld>
                    <a:r>
                      <a:rPr lang="en-US"/>
                      <a:t>%</a:t>
                    </a:r>
                  </a:p>
                </c:rich>
              </c:tx>
              <c:spPr>
                <a:noFill/>
                <a:ln w="9525">
                  <a:noFill/>
                </a:ln>
                <a:effectLst/>
              </c:sp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B9BE-4D41-8386-FAA13DB173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Sayfa1!$C$2:$C$5</c:f>
              <c:numCache>
                <c:formatCode>0.00</c:formatCode>
                <c:ptCount val="4"/>
                <c:pt idx="0">
                  <c:v>28.95</c:v>
                </c:pt>
                <c:pt idx="1">
                  <c:v>34.409999999999997</c:v>
                </c:pt>
                <c:pt idx="2">
                  <c:v>21.66</c:v>
                </c:pt>
                <c:pt idx="3">
                  <c:v>14.98</c:v>
                </c:pt>
              </c:numCache>
            </c:numRef>
          </c:val>
          <c:extLst xmlns:c16r2="http://schemas.microsoft.com/office/drawing/2015/06/chart">
            <c:ext xmlns:c16="http://schemas.microsoft.com/office/drawing/2014/chart" uri="{C3380CC4-5D6E-409C-BE32-E72D297353CC}">
              <c16:uniqueId val="{00000008-B9BE-4D41-8386-FAA13DB1738A}"/>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sz="1200" b="1">
                <a:solidFill>
                  <a:sysClr val="windowText" lastClr="000000"/>
                </a:solidFill>
                <a:latin typeface="Times New Roman" panose="02020603050405020304" pitchFamily="18" charset="0"/>
                <a:cs typeface="Times New Roman" panose="02020603050405020304" pitchFamily="18" charset="0"/>
              </a:rPr>
              <a:t>Rh</a:t>
            </a:r>
            <a:r>
              <a:rPr lang="tr-TR" sz="1200" b="1" baseline="0">
                <a:solidFill>
                  <a:sysClr val="windowText" lastClr="000000"/>
                </a:solidFill>
                <a:latin typeface="Times New Roman" panose="02020603050405020304" pitchFamily="18" charset="0"/>
                <a:cs typeface="Times New Roman" panose="02020603050405020304" pitchFamily="18" charset="0"/>
              </a:rPr>
              <a:t> Dağılımı</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082732100347922"/>
          <c:w val="1"/>
          <c:h val="0.74858670573155095"/>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8556-46A6-84B7-766FA58836E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8556-46A6-84B7-766FA58836EA}"/>
              </c:ext>
            </c:extLst>
          </c:dPt>
          <c:dLbls>
            <c:dLbl>
              <c:idx val="0"/>
              <c:layout>
                <c:manualLayout>
                  <c:x val="-0.2383349502515624"/>
                  <c:y val="-0.2951929605700778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r>
                      <a:rPr lang="en-US"/>
                      <a:t>RH(+)</a:t>
                    </a:r>
                  </a:p>
                  <a:p>
                    <a:pPr>
                      <a:defRPr sz="900" b="1" i="0" u="none" strike="noStrike" kern="1200" baseline="0">
                        <a:solidFill>
                          <a:schemeClr val="tx1"/>
                        </a:solidFill>
                        <a:latin typeface="+mn-lt"/>
                        <a:ea typeface="+mn-ea"/>
                        <a:cs typeface="+mn-cs"/>
                      </a:defRPr>
                    </a:pPr>
                    <a:fld id="{9D89A0D7-0BEF-4DB5-BD03-9B4A3B627450}" type="VALUE">
                      <a:rPr lang="en-US"/>
                      <a:pPr>
                        <a:defRPr sz="900" b="1" i="0" u="none" strike="noStrike" kern="1200" baseline="0">
                          <a:solidFill>
                            <a:schemeClr val="tx1"/>
                          </a:solidFill>
                          <a:latin typeface="+mn-lt"/>
                          <a:ea typeface="+mn-ea"/>
                          <a:cs typeface="+mn-cs"/>
                        </a:defRPr>
                      </a:pPr>
                      <a:t>[DEĞER]</a:t>
                    </a:fld>
                    <a:r>
                      <a:rPr lang="en-US"/>
                      <a:t>%</a:t>
                    </a:r>
                  </a:p>
                </c:rich>
              </c:tx>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20535839180560883"/>
                      <c:h val="0.16351943876059633"/>
                    </c:manualLayout>
                  </c15:layout>
                  <c15:dlblFieldTable/>
                  <c15:showDataLabelsRange val="0"/>
                </c:ext>
                <c:ext xmlns:c16="http://schemas.microsoft.com/office/drawing/2014/chart" uri="{C3380CC4-5D6E-409C-BE32-E72D297353CC}">
                  <c16:uniqueId val="{00000001-8556-46A6-84B7-766FA58836EA}"/>
                </c:ext>
              </c:extLst>
            </c:dLbl>
            <c:dLbl>
              <c:idx val="1"/>
              <c:tx>
                <c:rich>
                  <a:bodyPr/>
                  <a:lstStyle/>
                  <a:p>
                    <a:r>
                      <a:rPr lang="en-US"/>
                      <a:t>RH(-)</a:t>
                    </a:r>
                  </a:p>
                  <a:p>
                    <a:fld id="{4E1D821E-99B9-4BE9-83DB-4AFC4AFEEE67}" type="VALUE">
                      <a:rPr lang="en-US"/>
                      <a:pPr/>
                      <a:t>[DEĞER]</a:t>
                    </a:fld>
                    <a:r>
                      <a:rPr lang="en-US"/>
                      <a:t>%</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556-46A6-84B7-766FA58836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Sayfa1!$C$2:$C$3</c:f>
              <c:numCache>
                <c:formatCode>0.00</c:formatCode>
                <c:ptCount val="2"/>
                <c:pt idx="0">
                  <c:v>83.488372093023258</c:v>
                </c:pt>
                <c:pt idx="1">
                  <c:v>16.511627906976745</c:v>
                </c:pt>
              </c:numCache>
            </c:numRef>
          </c:val>
          <c:extLst xmlns:c16r2="http://schemas.microsoft.com/office/drawing/2015/06/chart">
            <c:ext xmlns:c16="http://schemas.microsoft.com/office/drawing/2014/chart" uri="{C3380CC4-5D6E-409C-BE32-E72D297353CC}">
              <c16:uniqueId val="{00000004-8556-46A6-84B7-766FA58836EA}"/>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100">
                <a:solidFill>
                  <a:sysClr val="windowText" lastClr="000000"/>
                </a:solidFill>
                <a:latin typeface="Times New Roman" panose="02020603050405020304" pitchFamily="18" charset="0"/>
                <a:cs typeface="Times New Roman" panose="02020603050405020304" pitchFamily="18" charset="0"/>
              </a:rPr>
              <a:t>Grafik 3: Kan</a:t>
            </a:r>
            <a:r>
              <a:rPr lang="tr-TR" sz="1100" baseline="0">
                <a:solidFill>
                  <a:sysClr val="windowText" lastClr="000000"/>
                </a:solidFill>
                <a:latin typeface="Times New Roman" panose="02020603050405020304" pitchFamily="18" charset="0"/>
                <a:cs typeface="Times New Roman" panose="02020603050405020304" pitchFamily="18" charset="0"/>
              </a:rPr>
              <a:t> Grubuna Göre Sağlıksızların Grafiği</a:t>
            </a:r>
            <a:endParaRPr lang="tr-TR"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B2E-4A83-8047-4CC13DF260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B2E-4A83-8047-4CC13DF260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4B2E-4A83-8047-4CC13DF260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4B2E-4A83-8047-4CC13DF260FC}"/>
              </c:ext>
            </c:extLst>
          </c:dPt>
          <c:dLbls>
            <c:dLbl>
              <c:idx val="0"/>
              <c:tx>
                <c:rich>
                  <a:bodyPr/>
                  <a:lstStyle/>
                  <a:p>
                    <a:r>
                      <a:rPr lang="en-US"/>
                      <a:t>0</a:t>
                    </a:r>
                  </a:p>
                  <a:p>
                    <a:fld id="{F918EF42-AED0-4D60-A8AC-7CE5EF88A8D2}" type="VALUE">
                      <a:rPr lang="en-US"/>
                      <a:pPr/>
                      <a:t>[DEĞER]</a:t>
                    </a:fld>
                    <a:r>
                      <a:rPr lang="en-US"/>
                      <a:t>%</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B2E-4A83-8047-4CC13DF260FC}"/>
                </c:ext>
              </c:extLst>
            </c:dLbl>
            <c:dLbl>
              <c:idx val="1"/>
              <c:layout>
                <c:manualLayout>
                  <c:x val="-0.20128808460345965"/>
                  <c:y val="-0.16328463765180479"/>
                </c:manualLayout>
              </c:layout>
              <c:tx>
                <c:rich>
                  <a:bodyPr/>
                  <a:lstStyle/>
                  <a:p>
                    <a:r>
                      <a:rPr lang="en-US"/>
                      <a:t>A</a:t>
                    </a:r>
                  </a:p>
                  <a:p>
                    <a:fld id="{94584E2E-4B56-4928-94A0-341907B205D5}" type="VALUE">
                      <a:rPr lang="en-US"/>
                      <a:pPr/>
                      <a:t>[DEĞER]</a:t>
                    </a:fld>
                    <a:r>
                      <a:rPr lang="en-US"/>
                      <a:t>%</a:t>
                    </a:r>
                  </a:p>
                  <a:p>
                    <a:endParaRPr lang="tr-T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8.9824561403508779E-2"/>
                      <c:h val="0.1541480787570364"/>
                    </c:manualLayout>
                  </c15:layout>
                  <c15:dlblFieldTable/>
                  <c15:showDataLabelsRange val="0"/>
                </c:ext>
                <c:ext xmlns:c16="http://schemas.microsoft.com/office/drawing/2014/chart" uri="{C3380CC4-5D6E-409C-BE32-E72D297353CC}">
                  <c16:uniqueId val="{00000003-4B2E-4A83-8047-4CC13DF260FC}"/>
                </c:ext>
              </c:extLst>
            </c:dLbl>
            <c:dLbl>
              <c:idx val="2"/>
              <c:layout>
                <c:manualLayout>
                  <c:x val="8.8770701907875504E-2"/>
                  <c:y val="-0.3385303525162248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en-US"/>
                      <a:t>B</a:t>
                    </a:r>
                  </a:p>
                  <a:p>
                    <a:pPr>
                      <a:defRPr sz="900" b="1" i="0" u="none" strike="noStrike" kern="1200" baseline="0">
                        <a:solidFill>
                          <a:schemeClr val="tx1">
                            <a:lumMod val="75000"/>
                            <a:lumOff val="25000"/>
                          </a:schemeClr>
                        </a:solidFill>
                        <a:latin typeface="+mn-lt"/>
                        <a:ea typeface="+mn-ea"/>
                        <a:cs typeface="+mn-cs"/>
                      </a:defRPr>
                    </a:pPr>
                    <a:fld id="{315967C8-E69A-4AAD-8318-AB97F4226F1A}" type="VALUE">
                      <a:rPr lang="en-US"/>
                      <a:pPr>
                        <a:defRPr sz="900" b="1" i="0" u="none" strike="noStrike" kern="1200" baseline="0">
                          <a:solidFill>
                            <a:schemeClr val="tx1">
                              <a:lumMod val="75000"/>
                              <a:lumOff val="25000"/>
                            </a:schemeClr>
                          </a:solidFill>
                          <a:latin typeface="+mn-lt"/>
                          <a:ea typeface="+mn-ea"/>
                          <a:cs typeface="+mn-cs"/>
                        </a:defRPr>
                      </a:pPr>
                      <a:t>[DEĞER]</a:t>
                    </a:fld>
                    <a:r>
                      <a:rPr lang="en-US"/>
                      <a:t>%</a:t>
                    </a:r>
                  </a:p>
                </c:rich>
              </c:tx>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9.2423651721897329E-2"/>
                      <c:h val="0.11991425509110397"/>
                    </c:manualLayout>
                  </c15:layout>
                  <c15:dlblFieldTable/>
                  <c15:showDataLabelsRange val="0"/>
                </c:ext>
                <c:ext xmlns:c16="http://schemas.microsoft.com/office/drawing/2014/chart" uri="{C3380CC4-5D6E-409C-BE32-E72D297353CC}">
                  <c16:uniqueId val="{00000005-4B2E-4A83-8047-4CC13DF260FC}"/>
                </c:ext>
              </c:extLst>
            </c:dLbl>
            <c:dLbl>
              <c:idx val="3"/>
              <c:layout>
                <c:manualLayout>
                  <c:x val="0.16610325756064118"/>
                  <c:y val="4.926416352296798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en-US"/>
                      <a:t>AB</a:t>
                    </a:r>
                  </a:p>
                  <a:p>
                    <a:pPr>
                      <a:defRPr sz="900" b="1" i="0" u="none" strike="noStrike" kern="1200" baseline="0">
                        <a:solidFill>
                          <a:schemeClr val="tx1">
                            <a:lumMod val="75000"/>
                            <a:lumOff val="25000"/>
                          </a:schemeClr>
                        </a:solidFill>
                        <a:latin typeface="+mn-lt"/>
                        <a:ea typeface="+mn-ea"/>
                        <a:cs typeface="+mn-cs"/>
                      </a:defRPr>
                    </a:pPr>
                    <a:fld id="{CC7FAFB2-0A9D-4671-B796-3CC48C044D58}" type="VALUE">
                      <a:rPr lang="en-US"/>
                      <a:pPr>
                        <a:defRPr sz="900" b="1" i="0" u="none" strike="noStrike" kern="1200" baseline="0">
                          <a:solidFill>
                            <a:schemeClr val="tx1">
                              <a:lumMod val="75000"/>
                              <a:lumOff val="25000"/>
                            </a:schemeClr>
                          </a:solidFill>
                          <a:latin typeface="+mn-lt"/>
                          <a:ea typeface="+mn-ea"/>
                          <a:cs typeface="+mn-cs"/>
                        </a:defRPr>
                      </a:pPr>
                      <a:t>[DEĞER]</a:t>
                    </a:fld>
                    <a:r>
                      <a:rPr lang="en-US"/>
                      <a:t>%</a:t>
                    </a:r>
                  </a:p>
                </c:rich>
              </c:tx>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0022092267706301"/>
                      <c:h val="0.12848874598070739"/>
                    </c:manualLayout>
                  </c15:layout>
                  <c15:dlblFieldTable/>
                  <c15:showDataLabelsRange val="0"/>
                </c:ext>
                <c:ext xmlns:c16="http://schemas.microsoft.com/office/drawing/2014/chart" uri="{C3380CC4-5D6E-409C-BE32-E72D297353CC}">
                  <c16:uniqueId val="{00000007-4B2E-4A83-8047-4CC13DF260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Sayfa1!$D$2:$D$5</c:f>
              <c:numCache>
                <c:formatCode>0.00</c:formatCode>
                <c:ptCount val="4"/>
                <c:pt idx="0">
                  <c:v>10.852713178294573</c:v>
                </c:pt>
                <c:pt idx="1">
                  <c:v>14.093959731543624</c:v>
                </c:pt>
                <c:pt idx="2">
                  <c:v>17.582417582417584</c:v>
                </c:pt>
                <c:pt idx="3">
                  <c:v>21.311475409836067</c:v>
                </c:pt>
              </c:numCache>
            </c:numRef>
          </c:val>
          <c:extLst xmlns:c16r2="http://schemas.microsoft.com/office/drawing/2015/06/chart">
            <c:ext xmlns:c16="http://schemas.microsoft.com/office/drawing/2014/chart" uri="{C3380CC4-5D6E-409C-BE32-E72D297353CC}">
              <c16:uniqueId val="{00000008-4B2E-4A83-8047-4CC13DF260F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TotalTime>
  <Pages>1</Pages>
  <Words>1795</Words>
  <Characters>10234</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dc:creator>
  <cp:lastModifiedBy>Rehberlik</cp:lastModifiedBy>
  <cp:revision>8</cp:revision>
  <dcterms:created xsi:type="dcterms:W3CDTF">2024-03-20T07:52:00Z</dcterms:created>
  <dcterms:modified xsi:type="dcterms:W3CDTF">2024-03-20T09:08:00Z</dcterms:modified>
</cp:coreProperties>
</file>